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DD3" w:rsidRPr="002B465A" w:rsidRDefault="002F0DD3" w:rsidP="007B2E3F">
      <w:pPr>
        <w:spacing w:after="0" w:line="360" w:lineRule="auto"/>
        <w:jc w:val="both"/>
        <w:rPr>
          <w:rFonts w:ascii="Times New Roman" w:eastAsia="Times New Roman" w:hAnsi="Times New Roman"/>
          <w:iCs/>
          <w:color w:val="000000"/>
          <w:sz w:val="24"/>
          <w:szCs w:val="24"/>
          <w:lang w:eastAsia="es-EC"/>
        </w:rPr>
      </w:pPr>
      <w:bookmarkStart w:id="0" w:name="_GoBack"/>
      <w:bookmarkEnd w:id="0"/>
    </w:p>
    <w:p w:rsidR="007B2E3F" w:rsidRPr="002B465A" w:rsidRDefault="00E37876" w:rsidP="007B2E3F">
      <w:pPr>
        <w:spacing w:after="0" w:line="360" w:lineRule="auto"/>
        <w:jc w:val="both"/>
        <w:rPr>
          <w:rFonts w:ascii="Times New Roman" w:hAnsi="Times New Roman"/>
          <w:b/>
          <w:color w:val="000000"/>
        </w:rPr>
      </w:pPr>
      <w:r>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p>
    <w:p w:rsidR="00724AB1" w:rsidRPr="002B465A" w:rsidRDefault="007826CF" w:rsidP="002B315B">
      <w:pPr>
        <w:pBdr>
          <w:top w:val="nil"/>
          <w:left w:val="nil"/>
          <w:bottom w:val="nil"/>
          <w:right w:val="nil"/>
          <w:between w:val="nil"/>
        </w:pBd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6C209B" w:rsidRPr="008F75DF" w:rsidRDefault="006C209B" w:rsidP="00BC341A">
      <w:pPr>
        <w:pStyle w:val="Sinespaciado"/>
        <w:spacing w:line="360" w:lineRule="auto"/>
        <w:rPr>
          <w:rFonts w:ascii="Times New Roman" w:hAnsi="Times New Roman"/>
          <w:b/>
          <w:i/>
          <w:sz w:val="18"/>
          <w:lang w:eastAsia="es-EC"/>
        </w:rPr>
      </w:pPr>
    </w:p>
    <w:p w:rsidR="00707315" w:rsidRDefault="00707315" w:rsidP="00707315">
      <w:pPr>
        <w:pStyle w:val="Sinespaciado"/>
        <w:spacing w:line="276" w:lineRule="auto"/>
        <w:jc w:val="center"/>
        <w:rPr>
          <w:rFonts w:ascii="Times New Roman" w:eastAsia="Times New Roman" w:hAnsi="Times New Roman"/>
          <w:b/>
          <w:i/>
          <w:sz w:val="28"/>
          <w:szCs w:val="26"/>
        </w:rPr>
      </w:pPr>
      <w:r w:rsidRPr="00707315">
        <w:rPr>
          <w:rFonts w:ascii="Times New Roman" w:eastAsia="Times New Roman" w:hAnsi="Times New Roman"/>
          <w:b/>
          <w:i/>
          <w:sz w:val="28"/>
          <w:szCs w:val="26"/>
        </w:rPr>
        <w:t xml:space="preserve">El Factor Temporalidad en la Presentación de la Acción de Protección </w:t>
      </w:r>
      <w:r>
        <w:rPr>
          <w:rFonts w:ascii="Times New Roman" w:eastAsia="Times New Roman" w:hAnsi="Times New Roman"/>
          <w:b/>
          <w:i/>
          <w:sz w:val="28"/>
          <w:szCs w:val="26"/>
        </w:rPr>
        <w:t>como Requisito de Admisibilidad</w:t>
      </w:r>
    </w:p>
    <w:p w:rsidR="00707315" w:rsidRPr="00707315" w:rsidRDefault="00707315" w:rsidP="00707315">
      <w:pPr>
        <w:pStyle w:val="Sinespaciado"/>
        <w:spacing w:line="276" w:lineRule="auto"/>
        <w:jc w:val="center"/>
        <w:rPr>
          <w:rFonts w:ascii="Times New Roman" w:eastAsia="Times New Roman" w:hAnsi="Times New Roman"/>
          <w:b/>
          <w:i/>
          <w:sz w:val="28"/>
          <w:szCs w:val="26"/>
        </w:rPr>
      </w:pPr>
    </w:p>
    <w:p w:rsidR="00707315" w:rsidRDefault="00707315" w:rsidP="00707315">
      <w:pPr>
        <w:pStyle w:val="Sinespaciado"/>
        <w:spacing w:line="276" w:lineRule="auto"/>
        <w:jc w:val="center"/>
        <w:rPr>
          <w:rFonts w:ascii="Times New Roman" w:eastAsia="Times New Roman" w:hAnsi="Times New Roman"/>
          <w:b/>
          <w:i/>
          <w:sz w:val="28"/>
          <w:szCs w:val="26"/>
          <w:lang w:val="en-US"/>
        </w:rPr>
      </w:pPr>
      <w:r w:rsidRPr="00707315">
        <w:rPr>
          <w:rFonts w:ascii="Times New Roman" w:eastAsia="Times New Roman" w:hAnsi="Times New Roman"/>
          <w:b/>
          <w:i/>
          <w:sz w:val="28"/>
          <w:szCs w:val="26"/>
          <w:lang w:val="en-US"/>
        </w:rPr>
        <w:t xml:space="preserve">The Time Factor in the Submission of the Protective Action as </w:t>
      </w:r>
      <w:r>
        <w:rPr>
          <w:rFonts w:ascii="Times New Roman" w:eastAsia="Times New Roman" w:hAnsi="Times New Roman"/>
          <w:b/>
          <w:i/>
          <w:sz w:val="28"/>
          <w:szCs w:val="26"/>
          <w:lang w:val="en-US"/>
        </w:rPr>
        <w:t>a Requirement for Admissibility</w:t>
      </w:r>
    </w:p>
    <w:p w:rsidR="002458DC" w:rsidRPr="00824FDC" w:rsidRDefault="00A46CBB" w:rsidP="00707315">
      <w:pPr>
        <w:pStyle w:val="Sinespaciado"/>
        <w:spacing w:line="276" w:lineRule="auto"/>
        <w:jc w:val="center"/>
        <w:rPr>
          <w:rFonts w:ascii="Times New Roman" w:eastAsia="Times New Roman" w:hAnsi="Times New Roman"/>
          <w:b/>
          <w:i/>
          <w:sz w:val="28"/>
          <w:szCs w:val="26"/>
          <w:lang w:val="en-US"/>
        </w:rPr>
      </w:pPr>
      <w:r w:rsidRPr="00824FDC">
        <w:rPr>
          <w:rFonts w:ascii="Times New Roman" w:eastAsia="Times New Roman" w:hAnsi="Times New Roman"/>
          <w:b/>
          <w:i/>
          <w:sz w:val="28"/>
          <w:szCs w:val="26"/>
          <w:lang w:val="en-US"/>
        </w:rPr>
        <w:t xml:space="preserve"> </w:t>
      </w:r>
    </w:p>
    <w:p w:rsidR="00D5340F" w:rsidRPr="000D1F49" w:rsidRDefault="00707315" w:rsidP="00707315">
      <w:pPr>
        <w:pStyle w:val="Sinespaciado"/>
        <w:spacing w:line="276" w:lineRule="auto"/>
        <w:jc w:val="center"/>
        <w:rPr>
          <w:rFonts w:ascii="Times New Roman" w:hAnsi="Times New Roman"/>
          <w:b/>
          <w:sz w:val="24"/>
          <w:szCs w:val="24"/>
        </w:rPr>
      </w:pPr>
      <w:r w:rsidRPr="00707315">
        <w:rPr>
          <w:rFonts w:ascii="Times New Roman" w:eastAsia="Times New Roman" w:hAnsi="Times New Roman"/>
          <w:b/>
          <w:i/>
          <w:sz w:val="28"/>
          <w:szCs w:val="26"/>
        </w:rPr>
        <w:t>O Fator Temporalidade na Apresentação da Ação Protetiva como Requisito de Admissibilidade</w:t>
      </w:r>
    </w:p>
    <w:p w:rsidR="00D5340F" w:rsidRPr="000D1F49" w:rsidRDefault="00E37876" w:rsidP="00D5340F">
      <w:pPr>
        <w:spacing w:after="0"/>
        <w:rPr>
          <w:rFonts w:ascii="Times New Roman" w:hAnsi="Times New Roman"/>
          <w:b/>
          <w:sz w:val="24"/>
          <w:szCs w:val="24"/>
        </w:rPr>
      </w:pPr>
      <w:r>
        <w:rPr>
          <w:rFonts w:ascii="Times New Roman" w:hAnsi="Times New Roman"/>
          <w:b/>
          <w:noProof/>
          <w:szCs w:val="24"/>
          <w:lang w:eastAsia="es-EC"/>
        </w:rPr>
        <mc:AlternateContent>
          <mc:Choice Requires="wps">
            <w:drawing>
              <wp:anchor distT="0" distB="0" distL="114300" distR="114300" simplePos="0" relativeHeight="251656704" behindDoc="0" locked="0" layoutInCell="1" allowOverlap="1">
                <wp:simplePos x="0" y="0"/>
                <wp:positionH relativeFrom="margin">
                  <wp:posOffset>2866390</wp:posOffset>
                </wp:positionH>
                <wp:positionV relativeFrom="paragraph">
                  <wp:posOffset>153035</wp:posOffset>
                </wp:positionV>
                <wp:extent cx="3362325" cy="666750"/>
                <wp:effectExtent l="0" t="0" r="0" b="0"/>
                <wp:wrapNone/>
                <wp:docPr id="16"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666750"/>
                        </a:xfrm>
                        <a:prstGeom prst="rect">
                          <a:avLst/>
                        </a:prstGeom>
                        <a:noFill/>
                        <a:ln w="6350">
                          <a:noFill/>
                        </a:ln>
                        <a:effectLst/>
                      </wps:spPr>
                      <wps:txbx>
                        <w:txbxContent>
                          <w:p w:rsidR="00707315" w:rsidRPr="00707315" w:rsidRDefault="00707315" w:rsidP="00707315">
                            <w:pPr>
                              <w:spacing w:after="0"/>
                              <w:jc w:val="center"/>
                              <w:rPr>
                                <w:rFonts w:ascii="Times New Roman" w:hAnsi="Times New Roman"/>
                                <w:bCs/>
                                <w:iCs/>
                                <w:color w:val="000000"/>
                                <w:vertAlign w:val="superscript"/>
                              </w:rPr>
                            </w:pPr>
                            <w:r>
                              <w:rPr>
                                <w:rFonts w:ascii="Times New Roman" w:hAnsi="Times New Roman"/>
                                <w:bCs/>
                                <w:iCs/>
                                <w:color w:val="000000"/>
                              </w:rPr>
                              <w:t>Jaribel Sofía Sánchez-</w:t>
                            </w:r>
                            <w:r w:rsidRPr="00707315">
                              <w:rPr>
                                <w:rFonts w:ascii="Times New Roman" w:hAnsi="Times New Roman"/>
                                <w:bCs/>
                                <w:iCs/>
                                <w:color w:val="000000"/>
                              </w:rPr>
                              <w:t xml:space="preserve">Lozano </w:t>
                            </w:r>
                            <w:r>
                              <w:rPr>
                                <w:rFonts w:ascii="Times New Roman" w:hAnsi="Times New Roman"/>
                                <w:bCs/>
                                <w:iCs/>
                                <w:color w:val="000000"/>
                                <w:vertAlign w:val="superscript"/>
                              </w:rPr>
                              <w:t>II</w:t>
                            </w:r>
                          </w:p>
                          <w:p w:rsidR="00707315" w:rsidRPr="00707315" w:rsidRDefault="00EA0A0C" w:rsidP="00707315">
                            <w:pPr>
                              <w:spacing w:after="0"/>
                              <w:jc w:val="center"/>
                              <w:rPr>
                                <w:rFonts w:ascii="Times New Roman" w:hAnsi="Times New Roman"/>
                                <w:bCs/>
                                <w:iCs/>
                                <w:color w:val="000000"/>
                              </w:rPr>
                            </w:pPr>
                            <w:hyperlink r:id="rId9" w:history="1">
                              <w:r w:rsidR="00707315" w:rsidRPr="00707315">
                                <w:rPr>
                                  <w:rStyle w:val="Hipervnculo"/>
                                  <w:rFonts w:ascii="Times New Roman" w:hAnsi="Times New Roman"/>
                                  <w:bCs/>
                                  <w:iCs/>
                                  <w:u w:val="none"/>
                                </w:rPr>
                                <w:t>jsanchez@umet.edu.ec</w:t>
                              </w:r>
                            </w:hyperlink>
                            <w:r w:rsidR="00707315" w:rsidRPr="00707315">
                              <w:rPr>
                                <w:rFonts w:ascii="Times New Roman" w:hAnsi="Times New Roman"/>
                                <w:bCs/>
                                <w:iCs/>
                                <w:color w:val="000000"/>
                              </w:rPr>
                              <w:t xml:space="preserve"> </w:t>
                            </w:r>
                          </w:p>
                          <w:p w:rsidR="00707315" w:rsidRPr="00707315" w:rsidRDefault="00EA0A0C" w:rsidP="00707315">
                            <w:pPr>
                              <w:spacing w:after="0"/>
                              <w:jc w:val="center"/>
                              <w:rPr>
                                <w:rFonts w:ascii="Times New Roman" w:hAnsi="Times New Roman"/>
                              </w:rPr>
                            </w:pPr>
                            <w:hyperlink r:id="rId10" w:history="1">
                              <w:r w:rsidR="00707315" w:rsidRPr="00707315">
                                <w:rPr>
                                  <w:rStyle w:val="Hipervnculo"/>
                                  <w:rFonts w:ascii="Times New Roman" w:hAnsi="Times New Roman"/>
                                  <w:bCs/>
                                  <w:iCs/>
                                  <w:u w:val="none"/>
                                </w:rPr>
                                <w:t>https://orcid.org/0000-0002-3251-129X</w:t>
                              </w:r>
                            </w:hyperlink>
                            <w:r w:rsidR="00707315" w:rsidRPr="00707315">
                              <w:rPr>
                                <w:rFonts w:ascii="Times New Roman" w:hAnsi="Times New Roman"/>
                                <w:bCs/>
                                <w:iCs/>
                                <w:color w:val="000000"/>
                              </w:rPr>
                              <w:t xml:space="preserve"> </w:t>
                            </w:r>
                            <w:r w:rsidR="00707315" w:rsidRPr="00707315">
                              <w:rPr>
                                <w:rFonts w:ascii="Times New Roman" w:hAnsi="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5" o:spid="_x0000_s1026" type="#_x0000_t202" style="position:absolute;margin-left:225.7pt;margin-top:12.05pt;width:264.75pt;height:5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" filled="f" stroked="f" strokeweight=".5pt">
                <v:path arrowok="t"/>
                <v:textbox>
                  <w:txbxContent>
                    <w:p w:rsidR="00707315" w:rsidRPr="00707315" w:rsidRDefault="00707315" w:rsidP="00707315">
                      <w:pPr>
                        <w:spacing w:after="0"/>
                        <w:jc w:val="center"/>
                        <w:rPr>
                          <w:rFonts w:ascii="Times New Roman" w:hAnsi="Times New Roman"/>
                          <w:bCs/>
                          <w:iCs/>
                          <w:color w:val="000000"/>
                          <w:vertAlign w:val="superscript"/>
                        </w:rPr>
                      </w:pPr>
                      <w:r>
                        <w:rPr>
                          <w:rFonts w:ascii="Times New Roman" w:hAnsi="Times New Roman"/>
                          <w:bCs/>
                          <w:iCs/>
                          <w:color w:val="000000"/>
                        </w:rPr>
                        <w:t>Jaribel Sofía Sánchez-</w:t>
                      </w:r>
                      <w:r w:rsidRPr="00707315">
                        <w:rPr>
                          <w:rFonts w:ascii="Times New Roman" w:hAnsi="Times New Roman"/>
                          <w:bCs/>
                          <w:iCs/>
                          <w:color w:val="000000"/>
                        </w:rPr>
                        <w:t xml:space="preserve">Lozano </w:t>
                      </w:r>
                      <w:r>
                        <w:rPr>
                          <w:rFonts w:ascii="Times New Roman" w:hAnsi="Times New Roman"/>
                          <w:bCs/>
                          <w:iCs/>
                          <w:color w:val="000000"/>
                          <w:vertAlign w:val="superscript"/>
                        </w:rPr>
                        <w:t>II</w:t>
                      </w:r>
                    </w:p>
                    <w:p w:rsidR="00707315" w:rsidRPr="00707315" w:rsidRDefault="00EA0A0C" w:rsidP="00707315">
                      <w:pPr>
                        <w:spacing w:after="0"/>
                        <w:jc w:val="center"/>
                        <w:rPr>
                          <w:rFonts w:ascii="Times New Roman" w:hAnsi="Times New Roman"/>
                          <w:bCs/>
                          <w:iCs/>
                          <w:color w:val="000000"/>
                        </w:rPr>
                      </w:pPr>
                      <w:hyperlink r:id="rId11" w:history="1">
                        <w:r w:rsidR="00707315" w:rsidRPr="00707315">
                          <w:rPr>
                            <w:rStyle w:val="Hipervnculo"/>
                            <w:rFonts w:ascii="Times New Roman" w:hAnsi="Times New Roman"/>
                            <w:bCs/>
                            <w:iCs/>
                            <w:u w:val="none"/>
                          </w:rPr>
                          <w:t>jsanchez@umet.edu.ec</w:t>
                        </w:r>
                      </w:hyperlink>
                      <w:r w:rsidR="00707315" w:rsidRPr="00707315">
                        <w:rPr>
                          <w:rFonts w:ascii="Times New Roman" w:hAnsi="Times New Roman"/>
                          <w:bCs/>
                          <w:iCs/>
                          <w:color w:val="000000"/>
                        </w:rPr>
                        <w:t xml:space="preserve"> </w:t>
                      </w:r>
                    </w:p>
                    <w:p w:rsidR="00707315" w:rsidRPr="00707315" w:rsidRDefault="00EA0A0C" w:rsidP="00707315">
                      <w:pPr>
                        <w:spacing w:after="0"/>
                        <w:jc w:val="center"/>
                        <w:rPr>
                          <w:rFonts w:ascii="Times New Roman" w:hAnsi="Times New Roman"/>
                        </w:rPr>
                      </w:pPr>
                      <w:hyperlink r:id="rId12" w:history="1">
                        <w:r w:rsidR="00707315" w:rsidRPr="00707315">
                          <w:rPr>
                            <w:rStyle w:val="Hipervnculo"/>
                            <w:rFonts w:ascii="Times New Roman" w:hAnsi="Times New Roman"/>
                            <w:bCs/>
                            <w:iCs/>
                            <w:u w:val="none"/>
                          </w:rPr>
                          <w:t>https://orcid.org/0000-0002-3251-129X</w:t>
                        </w:r>
                      </w:hyperlink>
                      <w:r w:rsidR="00707315" w:rsidRPr="00707315">
                        <w:rPr>
                          <w:rFonts w:ascii="Times New Roman" w:hAnsi="Times New Roman"/>
                          <w:bCs/>
                          <w:iCs/>
                          <w:color w:val="000000"/>
                        </w:rPr>
                        <w:t xml:space="preserve"> </w:t>
                      </w:r>
                      <w:r w:rsidR="00707315" w:rsidRPr="00707315">
                        <w:rPr>
                          <w:rFonts w:ascii="Times New Roman" w:hAnsi="Times New Roman"/>
                        </w:rPr>
                        <w:t xml:space="preserve">  </w:t>
                      </w:r>
                    </w:p>
                  </w:txbxContent>
                </v:textbox>
                <w10:wrap anchorx="margin"/>
              </v:shape>
            </w:pict>
          </mc:Fallback>
        </mc:AlternateContent>
      </w:r>
      <w:r>
        <w:rPr>
          <w:rFonts w:ascii="Times New Roman" w:hAnsi="Times New Roman"/>
          <w:b/>
          <w:noProof/>
          <w:sz w:val="8"/>
          <w:szCs w:val="24"/>
          <w:lang w:eastAsia="es-EC"/>
        </w:rPr>
        <mc:AlternateContent>
          <mc:Choice Requires="wps">
            <w:drawing>
              <wp:anchor distT="0" distB="0" distL="114300" distR="114300" simplePos="0" relativeHeight="251655680" behindDoc="0" locked="0" layoutInCell="1" allowOverlap="1">
                <wp:simplePos x="0" y="0"/>
                <wp:positionH relativeFrom="margin">
                  <wp:posOffset>-372110</wp:posOffset>
                </wp:positionH>
                <wp:positionV relativeFrom="paragraph">
                  <wp:posOffset>153035</wp:posOffset>
                </wp:positionV>
                <wp:extent cx="3362325" cy="666750"/>
                <wp:effectExtent l="0" t="0" r="0" b="0"/>
                <wp:wrapNone/>
                <wp:docPr id="1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666750"/>
                        </a:xfrm>
                        <a:prstGeom prst="rect">
                          <a:avLst/>
                        </a:prstGeom>
                        <a:noFill/>
                        <a:ln w="6350">
                          <a:noFill/>
                        </a:ln>
                        <a:effectLst/>
                      </wps:spPr>
                      <wps:txbx>
                        <w:txbxContent>
                          <w:p w:rsidR="00707315" w:rsidRPr="00707315" w:rsidRDefault="00707315" w:rsidP="00707315">
                            <w:pPr>
                              <w:spacing w:after="0"/>
                              <w:jc w:val="center"/>
                              <w:rPr>
                                <w:rFonts w:ascii="Times New Roman" w:hAnsi="Times New Roman"/>
                                <w:bCs/>
                                <w:iCs/>
                                <w:color w:val="000000"/>
                                <w:vertAlign w:val="superscript"/>
                              </w:rPr>
                            </w:pPr>
                            <w:r>
                              <w:rPr>
                                <w:rFonts w:ascii="Times New Roman" w:hAnsi="Times New Roman"/>
                                <w:bCs/>
                                <w:iCs/>
                                <w:color w:val="000000"/>
                              </w:rPr>
                              <w:t>Priscilla Pilar Porras-</w:t>
                            </w:r>
                            <w:r w:rsidRPr="00707315">
                              <w:rPr>
                                <w:rFonts w:ascii="Times New Roman" w:hAnsi="Times New Roman"/>
                                <w:bCs/>
                                <w:iCs/>
                                <w:color w:val="000000"/>
                              </w:rPr>
                              <w:t xml:space="preserve">Villagómez </w:t>
                            </w:r>
                            <w:r>
                              <w:rPr>
                                <w:rFonts w:ascii="Times New Roman" w:hAnsi="Times New Roman"/>
                                <w:bCs/>
                                <w:iCs/>
                                <w:color w:val="000000"/>
                                <w:vertAlign w:val="superscript"/>
                              </w:rPr>
                              <w:t>I</w:t>
                            </w:r>
                          </w:p>
                          <w:p w:rsidR="00707315" w:rsidRPr="00707315" w:rsidRDefault="00EA0A0C" w:rsidP="00707315">
                            <w:pPr>
                              <w:spacing w:after="0"/>
                              <w:jc w:val="center"/>
                              <w:rPr>
                                <w:rFonts w:ascii="Times New Roman" w:hAnsi="Times New Roman"/>
                                <w:bCs/>
                                <w:iCs/>
                                <w:color w:val="000000"/>
                              </w:rPr>
                            </w:pPr>
                            <w:hyperlink r:id="rId13" w:history="1">
                              <w:r w:rsidR="00707315" w:rsidRPr="00707315">
                                <w:rPr>
                                  <w:rStyle w:val="Hipervnculo"/>
                                  <w:rFonts w:ascii="Times New Roman" w:hAnsi="Times New Roman"/>
                                  <w:bCs/>
                                  <w:iCs/>
                                  <w:u w:val="none"/>
                                </w:rPr>
                                <w:t>pporras@umet.edu.ec</w:t>
                              </w:r>
                            </w:hyperlink>
                            <w:r w:rsidR="00707315" w:rsidRPr="00707315">
                              <w:rPr>
                                <w:rFonts w:ascii="Times New Roman" w:hAnsi="Times New Roman"/>
                                <w:bCs/>
                                <w:iCs/>
                                <w:color w:val="000000"/>
                              </w:rPr>
                              <w:t xml:space="preserve"> </w:t>
                            </w:r>
                          </w:p>
                          <w:p w:rsidR="002258C4" w:rsidRPr="00707315" w:rsidRDefault="00EA0A0C" w:rsidP="00707315">
                            <w:pPr>
                              <w:spacing w:after="0"/>
                              <w:jc w:val="center"/>
                              <w:rPr>
                                <w:rFonts w:ascii="Times New Roman" w:hAnsi="Times New Roman"/>
                              </w:rPr>
                            </w:pPr>
                            <w:hyperlink r:id="rId14" w:history="1">
                              <w:r w:rsidR="00707315" w:rsidRPr="00707315">
                                <w:rPr>
                                  <w:rStyle w:val="Hipervnculo"/>
                                  <w:rFonts w:ascii="Times New Roman" w:hAnsi="Times New Roman"/>
                                  <w:bCs/>
                                  <w:iCs/>
                                  <w:u w:val="none"/>
                                </w:rPr>
                                <w:t>https://orcid.org/0000-0002-1946-3115</w:t>
                              </w:r>
                            </w:hyperlink>
                            <w:r w:rsidR="00707315" w:rsidRPr="00707315">
                              <w:rPr>
                                <w:rFonts w:ascii="Times New Roman" w:hAnsi="Times New Roman"/>
                                <w:bCs/>
                                <w:iC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3pt;margin-top:12.05pt;width:264.75pt;height:5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" filled="f" stroked="f" strokeweight=".5pt">
                <v:path arrowok="t"/>
                <v:textbox>
                  <w:txbxContent>
                    <w:p w:rsidR="00707315" w:rsidRPr="00707315" w:rsidRDefault="00707315" w:rsidP="00707315">
                      <w:pPr>
                        <w:spacing w:after="0"/>
                        <w:jc w:val="center"/>
                        <w:rPr>
                          <w:rFonts w:ascii="Times New Roman" w:hAnsi="Times New Roman"/>
                          <w:bCs/>
                          <w:iCs/>
                          <w:color w:val="000000"/>
                          <w:vertAlign w:val="superscript"/>
                        </w:rPr>
                      </w:pPr>
                      <w:r>
                        <w:rPr>
                          <w:rFonts w:ascii="Times New Roman" w:hAnsi="Times New Roman"/>
                          <w:bCs/>
                          <w:iCs/>
                          <w:color w:val="000000"/>
                        </w:rPr>
                        <w:t>Priscilla Pilar Porras-</w:t>
                      </w:r>
                      <w:r w:rsidRPr="00707315">
                        <w:rPr>
                          <w:rFonts w:ascii="Times New Roman" w:hAnsi="Times New Roman"/>
                          <w:bCs/>
                          <w:iCs/>
                          <w:color w:val="000000"/>
                        </w:rPr>
                        <w:t xml:space="preserve">Villagómez </w:t>
                      </w:r>
                      <w:r>
                        <w:rPr>
                          <w:rFonts w:ascii="Times New Roman" w:hAnsi="Times New Roman"/>
                          <w:bCs/>
                          <w:iCs/>
                          <w:color w:val="000000"/>
                          <w:vertAlign w:val="superscript"/>
                        </w:rPr>
                        <w:t>I</w:t>
                      </w:r>
                    </w:p>
                    <w:p w:rsidR="00707315" w:rsidRPr="00707315" w:rsidRDefault="00EA0A0C" w:rsidP="00707315">
                      <w:pPr>
                        <w:spacing w:after="0"/>
                        <w:jc w:val="center"/>
                        <w:rPr>
                          <w:rFonts w:ascii="Times New Roman" w:hAnsi="Times New Roman"/>
                          <w:bCs/>
                          <w:iCs/>
                          <w:color w:val="000000"/>
                        </w:rPr>
                      </w:pPr>
                      <w:hyperlink r:id="rId15" w:history="1">
                        <w:r w:rsidR="00707315" w:rsidRPr="00707315">
                          <w:rPr>
                            <w:rStyle w:val="Hipervnculo"/>
                            <w:rFonts w:ascii="Times New Roman" w:hAnsi="Times New Roman"/>
                            <w:bCs/>
                            <w:iCs/>
                            <w:u w:val="none"/>
                          </w:rPr>
                          <w:t>pporras@umet.edu.ec</w:t>
                        </w:r>
                      </w:hyperlink>
                      <w:r w:rsidR="00707315" w:rsidRPr="00707315">
                        <w:rPr>
                          <w:rFonts w:ascii="Times New Roman" w:hAnsi="Times New Roman"/>
                          <w:bCs/>
                          <w:iCs/>
                          <w:color w:val="000000"/>
                        </w:rPr>
                        <w:t xml:space="preserve"> </w:t>
                      </w:r>
                    </w:p>
                    <w:p w:rsidR="002258C4" w:rsidRPr="00707315" w:rsidRDefault="00EA0A0C" w:rsidP="00707315">
                      <w:pPr>
                        <w:spacing w:after="0"/>
                        <w:jc w:val="center"/>
                        <w:rPr>
                          <w:rFonts w:ascii="Times New Roman" w:hAnsi="Times New Roman"/>
                        </w:rPr>
                      </w:pPr>
                      <w:hyperlink r:id="rId16" w:history="1">
                        <w:r w:rsidR="00707315" w:rsidRPr="00707315">
                          <w:rPr>
                            <w:rStyle w:val="Hipervnculo"/>
                            <w:rFonts w:ascii="Times New Roman" w:hAnsi="Times New Roman"/>
                            <w:bCs/>
                            <w:iCs/>
                            <w:u w:val="none"/>
                          </w:rPr>
                          <w:t>https://orcid.org/0000-0002-1946-3115</w:t>
                        </w:r>
                      </w:hyperlink>
                      <w:r w:rsidR="00707315" w:rsidRPr="00707315">
                        <w:rPr>
                          <w:rFonts w:ascii="Times New Roman" w:hAnsi="Times New Roman"/>
                          <w:bCs/>
                          <w:iCs/>
                          <w:color w:val="000000"/>
                        </w:rPr>
                        <w:t xml:space="preserve"> </w:t>
                      </w:r>
                    </w:p>
                  </w:txbxContent>
                </v:textbox>
                <w10:wrap anchorx="margin"/>
              </v:shape>
            </w:pict>
          </mc:Fallback>
        </mc:AlternateContent>
      </w:r>
    </w:p>
    <w:p w:rsidR="00D5340F" w:rsidRPr="000D1F49" w:rsidRDefault="00D5340F" w:rsidP="00D5340F">
      <w:pPr>
        <w:spacing w:after="0"/>
        <w:rPr>
          <w:rFonts w:ascii="Times New Roman" w:hAnsi="Times New Roman"/>
          <w:b/>
          <w:sz w:val="24"/>
          <w:szCs w:val="24"/>
        </w:rPr>
      </w:pPr>
    </w:p>
    <w:p w:rsidR="008A2520" w:rsidRDefault="008A2520" w:rsidP="00C417DB">
      <w:pPr>
        <w:spacing w:after="0"/>
        <w:rPr>
          <w:rFonts w:ascii="Times New Roman" w:hAnsi="Times New Roman"/>
          <w:b/>
          <w:szCs w:val="24"/>
          <w:lang w:val="pt-BR"/>
        </w:rPr>
      </w:pPr>
    </w:p>
    <w:p w:rsidR="006F01F0" w:rsidRDefault="006F01F0" w:rsidP="00D5340F">
      <w:pPr>
        <w:spacing w:after="0"/>
        <w:jc w:val="center"/>
        <w:rPr>
          <w:rFonts w:ascii="Times New Roman" w:hAnsi="Times New Roman"/>
          <w:b/>
          <w:sz w:val="8"/>
          <w:szCs w:val="24"/>
          <w:lang w:val="pt-BR"/>
        </w:rPr>
      </w:pPr>
    </w:p>
    <w:p w:rsidR="00592454" w:rsidRDefault="00592454" w:rsidP="00D5340F">
      <w:pPr>
        <w:spacing w:after="0"/>
        <w:jc w:val="center"/>
        <w:rPr>
          <w:rFonts w:ascii="Times New Roman" w:hAnsi="Times New Roman"/>
          <w:b/>
          <w:sz w:val="8"/>
          <w:szCs w:val="24"/>
          <w:lang w:val="pt-BR"/>
        </w:rPr>
      </w:pPr>
    </w:p>
    <w:p w:rsidR="00592454" w:rsidRDefault="00E37876" w:rsidP="00D5340F">
      <w:pPr>
        <w:spacing w:after="0"/>
        <w:jc w:val="center"/>
        <w:rPr>
          <w:rFonts w:ascii="Times New Roman" w:hAnsi="Times New Roman"/>
          <w:b/>
          <w:sz w:val="8"/>
          <w:szCs w:val="24"/>
          <w:lang w:val="pt-BR"/>
        </w:rPr>
      </w:pPr>
      <w:r>
        <w:rPr>
          <w:rFonts w:ascii="Times New Roman" w:hAnsi="Times New Roman"/>
          <w:b/>
          <w:noProof/>
          <w:sz w:val="8"/>
          <w:szCs w:val="24"/>
          <w:lang w:eastAsia="es-EC"/>
        </w:rPr>
        <mc:AlternateContent>
          <mc:Choice Requires="wps">
            <w:drawing>
              <wp:anchor distT="0" distB="0" distL="114300" distR="114300" simplePos="0" relativeHeight="251657728" behindDoc="0" locked="0" layoutInCell="1" allowOverlap="1">
                <wp:simplePos x="0" y="0"/>
                <wp:positionH relativeFrom="margin">
                  <wp:posOffset>-372110</wp:posOffset>
                </wp:positionH>
                <wp:positionV relativeFrom="paragraph">
                  <wp:posOffset>142240</wp:posOffset>
                </wp:positionV>
                <wp:extent cx="3362325" cy="666750"/>
                <wp:effectExtent l="0" t="0" r="0" b="0"/>
                <wp:wrapNone/>
                <wp:docPr id="14"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666750"/>
                        </a:xfrm>
                        <a:prstGeom prst="rect">
                          <a:avLst/>
                        </a:prstGeom>
                        <a:noFill/>
                        <a:ln w="6350">
                          <a:noFill/>
                        </a:ln>
                        <a:effectLst/>
                      </wps:spPr>
                      <wps:txbx>
                        <w:txbxContent>
                          <w:p w:rsidR="00707315" w:rsidRPr="00707315" w:rsidRDefault="00707315" w:rsidP="00707315">
                            <w:pPr>
                              <w:spacing w:after="0"/>
                              <w:jc w:val="center"/>
                              <w:rPr>
                                <w:rFonts w:ascii="Times New Roman" w:hAnsi="Times New Roman"/>
                                <w:bCs/>
                                <w:iCs/>
                                <w:color w:val="000000"/>
                              </w:rPr>
                            </w:pPr>
                            <w:r>
                              <w:rPr>
                                <w:rFonts w:ascii="Times New Roman" w:hAnsi="Times New Roman"/>
                                <w:bCs/>
                                <w:iCs/>
                                <w:color w:val="000000"/>
                              </w:rPr>
                              <w:t>Andrés Esteban Vásquez-</w:t>
                            </w:r>
                            <w:r w:rsidRPr="00707315">
                              <w:rPr>
                                <w:rFonts w:ascii="Times New Roman" w:hAnsi="Times New Roman"/>
                                <w:bCs/>
                                <w:iCs/>
                                <w:color w:val="000000"/>
                              </w:rPr>
                              <w:t xml:space="preserve">Jadán </w:t>
                            </w:r>
                            <w:r>
                              <w:rPr>
                                <w:rFonts w:ascii="Times New Roman" w:hAnsi="Times New Roman"/>
                                <w:bCs/>
                                <w:iCs/>
                                <w:color w:val="000000"/>
                                <w:vertAlign w:val="superscript"/>
                              </w:rPr>
                              <w:t>III</w:t>
                            </w:r>
                          </w:p>
                          <w:p w:rsidR="00707315" w:rsidRPr="00707315" w:rsidRDefault="00EA0A0C" w:rsidP="00707315">
                            <w:pPr>
                              <w:spacing w:after="0"/>
                              <w:jc w:val="center"/>
                              <w:rPr>
                                <w:rFonts w:ascii="Times New Roman" w:hAnsi="Times New Roman"/>
                                <w:bCs/>
                                <w:iCs/>
                                <w:color w:val="000000"/>
                              </w:rPr>
                            </w:pPr>
                            <w:hyperlink r:id="rId17" w:history="1">
                              <w:r w:rsidR="00707315" w:rsidRPr="00707315">
                                <w:rPr>
                                  <w:rStyle w:val="Hipervnculo"/>
                                  <w:rFonts w:ascii="Times New Roman" w:hAnsi="Times New Roman"/>
                                  <w:bCs/>
                                  <w:iCs/>
                                  <w:u w:val="none"/>
                                </w:rPr>
                                <w:t>avasquez@umet.edu.ec</w:t>
                              </w:r>
                            </w:hyperlink>
                            <w:r w:rsidR="00707315" w:rsidRPr="00707315">
                              <w:rPr>
                                <w:rFonts w:ascii="Times New Roman" w:hAnsi="Times New Roman"/>
                                <w:bCs/>
                                <w:iCs/>
                                <w:color w:val="000000"/>
                              </w:rPr>
                              <w:t xml:space="preserve"> </w:t>
                            </w:r>
                          </w:p>
                          <w:p w:rsidR="00707315" w:rsidRPr="00707315" w:rsidRDefault="00EA0A0C" w:rsidP="00707315">
                            <w:pPr>
                              <w:spacing w:after="0"/>
                              <w:jc w:val="center"/>
                              <w:rPr>
                                <w:rFonts w:ascii="Times New Roman" w:hAnsi="Times New Roman"/>
                              </w:rPr>
                            </w:pPr>
                            <w:hyperlink r:id="rId18" w:history="1">
                              <w:r w:rsidR="00707315" w:rsidRPr="00707315">
                                <w:rPr>
                                  <w:rStyle w:val="Hipervnculo"/>
                                  <w:rFonts w:ascii="Times New Roman" w:hAnsi="Times New Roman"/>
                                  <w:bCs/>
                                  <w:iCs/>
                                  <w:u w:val="none"/>
                                </w:rPr>
                                <w:t>https://orcid.org/0000-0002-8501-6823</w:t>
                              </w:r>
                            </w:hyperlink>
                            <w:r w:rsidR="00707315" w:rsidRPr="00707315">
                              <w:rPr>
                                <w:rFonts w:ascii="Times New Roman" w:hAnsi="Times New Roman"/>
                                <w:bCs/>
                                <w:iC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3pt;margin-top:11.2pt;width:264.75pt;height: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" filled="f" stroked="f" strokeweight=".5pt">
                <v:path arrowok="t"/>
                <v:textbox>
                  <w:txbxContent>
                    <w:p w:rsidR="00707315" w:rsidRPr="00707315" w:rsidRDefault="00707315" w:rsidP="00707315">
                      <w:pPr>
                        <w:spacing w:after="0"/>
                        <w:jc w:val="center"/>
                        <w:rPr>
                          <w:rFonts w:ascii="Times New Roman" w:hAnsi="Times New Roman"/>
                          <w:bCs/>
                          <w:iCs/>
                          <w:color w:val="000000"/>
                        </w:rPr>
                      </w:pPr>
                      <w:r>
                        <w:rPr>
                          <w:rFonts w:ascii="Times New Roman" w:hAnsi="Times New Roman"/>
                          <w:bCs/>
                          <w:iCs/>
                          <w:color w:val="000000"/>
                        </w:rPr>
                        <w:t>Andrés Esteban Vásquez-</w:t>
                      </w:r>
                      <w:r w:rsidRPr="00707315">
                        <w:rPr>
                          <w:rFonts w:ascii="Times New Roman" w:hAnsi="Times New Roman"/>
                          <w:bCs/>
                          <w:iCs/>
                          <w:color w:val="000000"/>
                        </w:rPr>
                        <w:t xml:space="preserve">Jadán </w:t>
                      </w:r>
                      <w:r>
                        <w:rPr>
                          <w:rFonts w:ascii="Times New Roman" w:hAnsi="Times New Roman"/>
                          <w:bCs/>
                          <w:iCs/>
                          <w:color w:val="000000"/>
                          <w:vertAlign w:val="superscript"/>
                        </w:rPr>
                        <w:t>III</w:t>
                      </w:r>
                    </w:p>
                    <w:p w:rsidR="00707315" w:rsidRPr="00707315" w:rsidRDefault="00EA0A0C" w:rsidP="00707315">
                      <w:pPr>
                        <w:spacing w:after="0"/>
                        <w:jc w:val="center"/>
                        <w:rPr>
                          <w:rFonts w:ascii="Times New Roman" w:hAnsi="Times New Roman"/>
                          <w:bCs/>
                          <w:iCs/>
                          <w:color w:val="000000"/>
                        </w:rPr>
                      </w:pPr>
                      <w:hyperlink r:id="rId19" w:history="1">
                        <w:r w:rsidR="00707315" w:rsidRPr="00707315">
                          <w:rPr>
                            <w:rStyle w:val="Hipervnculo"/>
                            <w:rFonts w:ascii="Times New Roman" w:hAnsi="Times New Roman"/>
                            <w:bCs/>
                            <w:iCs/>
                            <w:u w:val="none"/>
                          </w:rPr>
                          <w:t>avasquez@umet.edu.ec</w:t>
                        </w:r>
                      </w:hyperlink>
                      <w:r w:rsidR="00707315" w:rsidRPr="00707315">
                        <w:rPr>
                          <w:rFonts w:ascii="Times New Roman" w:hAnsi="Times New Roman"/>
                          <w:bCs/>
                          <w:iCs/>
                          <w:color w:val="000000"/>
                        </w:rPr>
                        <w:t xml:space="preserve"> </w:t>
                      </w:r>
                    </w:p>
                    <w:p w:rsidR="00707315" w:rsidRPr="00707315" w:rsidRDefault="00EA0A0C" w:rsidP="00707315">
                      <w:pPr>
                        <w:spacing w:after="0"/>
                        <w:jc w:val="center"/>
                        <w:rPr>
                          <w:rFonts w:ascii="Times New Roman" w:hAnsi="Times New Roman"/>
                        </w:rPr>
                      </w:pPr>
                      <w:hyperlink r:id="rId20" w:history="1">
                        <w:r w:rsidR="00707315" w:rsidRPr="00707315">
                          <w:rPr>
                            <w:rStyle w:val="Hipervnculo"/>
                            <w:rFonts w:ascii="Times New Roman" w:hAnsi="Times New Roman"/>
                            <w:bCs/>
                            <w:iCs/>
                            <w:u w:val="none"/>
                          </w:rPr>
                          <w:t>https://orcid.org/0000-0002-8501-6823</w:t>
                        </w:r>
                      </w:hyperlink>
                      <w:r w:rsidR="00707315" w:rsidRPr="00707315">
                        <w:rPr>
                          <w:rFonts w:ascii="Times New Roman" w:hAnsi="Times New Roman"/>
                          <w:bCs/>
                          <w:iCs/>
                          <w:color w:val="000000"/>
                        </w:rPr>
                        <w:t xml:space="preserve"> </w:t>
                      </w:r>
                    </w:p>
                  </w:txbxContent>
                </v:textbox>
                <w10:wrap anchorx="margin"/>
              </v:shape>
            </w:pict>
          </mc:Fallback>
        </mc:AlternateContent>
      </w:r>
    </w:p>
    <w:p w:rsidR="00E73B19" w:rsidRDefault="00E73B19" w:rsidP="00B878B9">
      <w:pPr>
        <w:spacing w:after="0"/>
        <w:rPr>
          <w:rFonts w:ascii="Times New Roman" w:hAnsi="Times New Roman"/>
          <w:b/>
          <w:sz w:val="8"/>
          <w:szCs w:val="24"/>
          <w:lang w:val="pt-BR"/>
        </w:rPr>
      </w:pPr>
    </w:p>
    <w:p w:rsidR="00E73B19" w:rsidRDefault="00E37876" w:rsidP="00D5340F">
      <w:pPr>
        <w:spacing w:after="0"/>
        <w:jc w:val="center"/>
        <w:rPr>
          <w:rFonts w:ascii="Times New Roman" w:hAnsi="Times New Roman"/>
          <w:b/>
          <w:sz w:val="8"/>
          <w:szCs w:val="24"/>
          <w:lang w:val="pt-BR"/>
        </w:rPr>
      </w:pPr>
      <w:r>
        <w:rPr>
          <w:rFonts w:ascii="Times New Roman" w:hAnsi="Times New Roman"/>
          <w:b/>
          <w:noProof/>
          <w:sz w:val="8"/>
          <w:szCs w:val="24"/>
          <w:lang w:eastAsia="es-EC"/>
        </w:rPr>
        <mc:AlternateContent>
          <mc:Choice Requires="wps">
            <w:drawing>
              <wp:anchor distT="0" distB="0" distL="114300" distR="114300" simplePos="0" relativeHeight="251658752" behindDoc="0" locked="0" layoutInCell="1" allowOverlap="1">
                <wp:simplePos x="0" y="0"/>
                <wp:positionH relativeFrom="margin">
                  <wp:posOffset>2866390</wp:posOffset>
                </wp:positionH>
                <wp:positionV relativeFrom="paragraph">
                  <wp:posOffset>16510</wp:posOffset>
                </wp:positionV>
                <wp:extent cx="3362325" cy="666750"/>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666750"/>
                        </a:xfrm>
                        <a:prstGeom prst="rect">
                          <a:avLst/>
                        </a:prstGeom>
                        <a:noFill/>
                        <a:ln w="6350">
                          <a:noFill/>
                        </a:ln>
                        <a:effectLst/>
                      </wps:spPr>
                      <wps:txbx>
                        <w:txbxContent>
                          <w:p w:rsidR="00707315" w:rsidRPr="00707315" w:rsidRDefault="00707315" w:rsidP="00707315">
                            <w:pPr>
                              <w:spacing w:after="0"/>
                              <w:jc w:val="center"/>
                              <w:rPr>
                                <w:rFonts w:ascii="Times New Roman" w:hAnsi="Times New Roman"/>
                                <w:bCs/>
                                <w:iCs/>
                                <w:color w:val="000000"/>
                              </w:rPr>
                            </w:pPr>
                            <w:r w:rsidRPr="00707315">
                              <w:rPr>
                                <w:rFonts w:ascii="Times New Roman" w:hAnsi="Times New Roman"/>
                                <w:bCs/>
                                <w:iCs/>
                                <w:color w:val="000000"/>
                              </w:rPr>
                              <w:t xml:space="preserve">Juan José Torres- Espinoza </w:t>
                            </w:r>
                            <w:r>
                              <w:rPr>
                                <w:rFonts w:ascii="Times New Roman" w:hAnsi="Times New Roman"/>
                                <w:bCs/>
                                <w:iCs/>
                                <w:color w:val="000000"/>
                                <w:vertAlign w:val="superscript"/>
                              </w:rPr>
                              <w:t>IV</w:t>
                            </w:r>
                          </w:p>
                          <w:p w:rsidR="00707315" w:rsidRPr="00707315" w:rsidRDefault="00EA0A0C" w:rsidP="00707315">
                            <w:pPr>
                              <w:spacing w:after="0"/>
                              <w:jc w:val="center"/>
                              <w:rPr>
                                <w:rFonts w:ascii="Times New Roman" w:hAnsi="Times New Roman"/>
                                <w:bCs/>
                                <w:iCs/>
                                <w:color w:val="000000"/>
                              </w:rPr>
                            </w:pPr>
                            <w:hyperlink r:id="rId21" w:history="1">
                              <w:r w:rsidR="00707315" w:rsidRPr="00707315">
                                <w:rPr>
                                  <w:rStyle w:val="Hipervnculo"/>
                                  <w:rFonts w:ascii="Times New Roman" w:hAnsi="Times New Roman"/>
                                  <w:bCs/>
                                  <w:iCs/>
                                  <w:u w:val="none"/>
                                </w:rPr>
                                <w:t>jtorres@umet.edu.ec</w:t>
                              </w:r>
                            </w:hyperlink>
                            <w:r w:rsidR="00707315" w:rsidRPr="00707315">
                              <w:rPr>
                                <w:rFonts w:ascii="Times New Roman" w:hAnsi="Times New Roman"/>
                                <w:bCs/>
                                <w:iCs/>
                                <w:color w:val="000000"/>
                              </w:rPr>
                              <w:t xml:space="preserve"> </w:t>
                            </w:r>
                          </w:p>
                          <w:p w:rsidR="00707315" w:rsidRPr="00707315" w:rsidRDefault="00EA0A0C" w:rsidP="00707315">
                            <w:pPr>
                              <w:spacing w:after="0"/>
                              <w:jc w:val="center"/>
                              <w:rPr>
                                <w:rFonts w:ascii="Times New Roman" w:hAnsi="Times New Roman"/>
                              </w:rPr>
                            </w:pPr>
                            <w:hyperlink r:id="rId22" w:history="1">
                              <w:r w:rsidR="00707315" w:rsidRPr="00707315">
                                <w:rPr>
                                  <w:rStyle w:val="Hipervnculo"/>
                                  <w:rFonts w:ascii="Times New Roman" w:hAnsi="Times New Roman"/>
                                  <w:bCs/>
                                  <w:iCs/>
                                  <w:u w:val="none"/>
                                </w:rPr>
                                <w:t>https://orcid.org/0000-0001-9352-5698</w:t>
                              </w:r>
                            </w:hyperlink>
                            <w:r w:rsidR="00707315" w:rsidRPr="00707315">
                              <w:rPr>
                                <w:rFonts w:ascii="Times New Roman" w:hAnsi="Times New Roman"/>
                                <w:bCs/>
                                <w:iC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7pt;margin-top:1.3pt;width:264.75pt;height:5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" filled="f" stroked="f" strokeweight=".5pt">
                <v:path arrowok="t"/>
                <v:textbox>
                  <w:txbxContent>
                    <w:p w:rsidR="00707315" w:rsidRPr="00707315" w:rsidRDefault="00707315" w:rsidP="00707315">
                      <w:pPr>
                        <w:spacing w:after="0"/>
                        <w:jc w:val="center"/>
                        <w:rPr>
                          <w:rFonts w:ascii="Times New Roman" w:hAnsi="Times New Roman"/>
                          <w:bCs/>
                          <w:iCs/>
                          <w:color w:val="000000"/>
                        </w:rPr>
                      </w:pPr>
                      <w:r w:rsidRPr="00707315">
                        <w:rPr>
                          <w:rFonts w:ascii="Times New Roman" w:hAnsi="Times New Roman"/>
                          <w:bCs/>
                          <w:iCs/>
                          <w:color w:val="000000"/>
                        </w:rPr>
                        <w:t xml:space="preserve">Juan José Torres- Espinoza </w:t>
                      </w:r>
                      <w:r>
                        <w:rPr>
                          <w:rFonts w:ascii="Times New Roman" w:hAnsi="Times New Roman"/>
                          <w:bCs/>
                          <w:iCs/>
                          <w:color w:val="000000"/>
                          <w:vertAlign w:val="superscript"/>
                        </w:rPr>
                        <w:t>IV</w:t>
                      </w:r>
                    </w:p>
                    <w:p w:rsidR="00707315" w:rsidRPr="00707315" w:rsidRDefault="00EA0A0C" w:rsidP="00707315">
                      <w:pPr>
                        <w:spacing w:after="0"/>
                        <w:jc w:val="center"/>
                        <w:rPr>
                          <w:rFonts w:ascii="Times New Roman" w:hAnsi="Times New Roman"/>
                          <w:bCs/>
                          <w:iCs/>
                          <w:color w:val="000000"/>
                        </w:rPr>
                      </w:pPr>
                      <w:hyperlink r:id="rId23" w:history="1">
                        <w:r w:rsidR="00707315" w:rsidRPr="00707315">
                          <w:rPr>
                            <w:rStyle w:val="Hipervnculo"/>
                            <w:rFonts w:ascii="Times New Roman" w:hAnsi="Times New Roman"/>
                            <w:bCs/>
                            <w:iCs/>
                            <w:u w:val="none"/>
                          </w:rPr>
                          <w:t>jtorres@umet.edu.ec</w:t>
                        </w:r>
                      </w:hyperlink>
                      <w:r w:rsidR="00707315" w:rsidRPr="00707315">
                        <w:rPr>
                          <w:rFonts w:ascii="Times New Roman" w:hAnsi="Times New Roman"/>
                          <w:bCs/>
                          <w:iCs/>
                          <w:color w:val="000000"/>
                        </w:rPr>
                        <w:t xml:space="preserve"> </w:t>
                      </w:r>
                    </w:p>
                    <w:p w:rsidR="00707315" w:rsidRPr="00707315" w:rsidRDefault="00EA0A0C" w:rsidP="00707315">
                      <w:pPr>
                        <w:spacing w:after="0"/>
                        <w:jc w:val="center"/>
                        <w:rPr>
                          <w:rFonts w:ascii="Times New Roman" w:hAnsi="Times New Roman"/>
                        </w:rPr>
                      </w:pPr>
                      <w:hyperlink r:id="rId24" w:history="1">
                        <w:r w:rsidR="00707315" w:rsidRPr="00707315">
                          <w:rPr>
                            <w:rStyle w:val="Hipervnculo"/>
                            <w:rFonts w:ascii="Times New Roman" w:hAnsi="Times New Roman"/>
                            <w:bCs/>
                            <w:iCs/>
                            <w:u w:val="none"/>
                          </w:rPr>
                          <w:t>https://orcid.org/0000-0001-9352-5698</w:t>
                        </w:r>
                      </w:hyperlink>
                      <w:r w:rsidR="00707315" w:rsidRPr="00707315">
                        <w:rPr>
                          <w:rFonts w:ascii="Times New Roman" w:hAnsi="Times New Roman"/>
                          <w:bCs/>
                          <w:iCs/>
                          <w:color w:val="000000"/>
                        </w:rPr>
                        <w:t xml:space="preserve"> </w:t>
                      </w:r>
                    </w:p>
                  </w:txbxContent>
                </v:textbox>
                <w10:wrap anchorx="margin"/>
              </v:shape>
            </w:pict>
          </mc:Fallback>
        </mc:AlternateContent>
      </w:r>
    </w:p>
    <w:p w:rsidR="00047EF1" w:rsidRDefault="00047EF1" w:rsidP="002B548D">
      <w:pPr>
        <w:spacing w:after="0"/>
        <w:rPr>
          <w:rFonts w:ascii="Times New Roman" w:hAnsi="Times New Roman"/>
          <w:b/>
          <w:sz w:val="8"/>
          <w:szCs w:val="24"/>
          <w:lang w:val="pt-BR"/>
        </w:rPr>
      </w:pPr>
    </w:p>
    <w:p w:rsidR="00047EF1" w:rsidRDefault="00047EF1" w:rsidP="00D91B53">
      <w:pPr>
        <w:spacing w:after="0"/>
        <w:rPr>
          <w:rFonts w:ascii="Times New Roman" w:hAnsi="Times New Roman"/>
          <w:b/>
          <w:sz w:val="8"/>
          <w:szCs w:val="24"/>
          <w:lang w:val="pt-BR"/>
        </w:rPr>
      </w:pPr>
    </w:p>
    <w:p w:rsidR="00707315" w:rsidRDefault="00707315" w:rsidP="00D91B53">
      <w:pPr>
        <w:spacing w:after="0"/>
        <w:rPr>
          <w:rFonts w:ascii="Times New Roman" w:hAnsi="Times New Roman"/>
          <w:b/>
          <w:sz w:val="8"/>
          <w:szCs w:val="24"/>
          <w:lang w:val="pt-BR"/>
        </w:rPr>
      </w:pPr>
    </w:p>
    <w:p w:rsidR="00707315" w:rsidRDefault="00707315" w:rsidP="00D91B53">
      <w:pPr>
        <w:spacing w:after="0"/>
        <w:rPr>
          <w:rFonts w:ascii="Times New Roman" w:hAnsi="Times New Roman"/>
          <w:b/>
          <w:sz w:val="8"/>
          <w:szCs w:val="24"/>
          <w:lang w:val="pt-BR"/>
        </w:rPr>
      </w:pPr>
    </w:p>
    <w:p w:rsidR="00592454" w:rsidRDefault="00592454" w:rsidP="00DE5B7B">
      <w:pPr>
        <w:spacing w:after="0"/>
        <w:rPr>
          <w:rFonts w:ascii="Times New Roman" w:hAnsi="Times New Roman"/>
          <w:b/>
          <w:sz w:val="8"/>
          <w:szCs w:val="24"/>
          <w:lang w:val="pt-BR"/>
        </w:rPr>
      </w:pPr>
    </w:p>
    <w:p w:rsidR="00520908" w:rsidRDefault="00520908" w:rsidP="00DE5B7B">
      <w:pPr>
        <w:spacing w:after="0"/>
        <w:rPr>
          <w:rFonts w:ascii="Times New Roman" w:hAnsi="Times New Roman"/>
          <w:b/>
          <w:sz w:val="8"/>
          <w:szCs w:val="24"/>
          <w:lang w:val="pt-BR"/>
        </w:rPr>
      </w:pPr>
    </w:p>
    <w:p w:rsidR="00520908" w:rsidRDefault="00520908" w:rsidP="00DE5B7B">
      <w:pPr>
        <w:spacing w:after="0"/>
        <w:rPr>
          <w:rFonts w:ascii="Times New Roman" w:hAnsi="Times New Roman"/>
          <w:b/>
          <w:sz w:val="8"/>
          <w:szCs w:val="24"/>
          <w:lang w:val="pt-BR"/>
        </w:rPr>
      </w:pPr>
    </w:p>
    <w:p w:rsidR="00520908" w:rsidRDefault="00520908" w:rsidP="002458DC">
      <w:pPr>
        <w:spacing w:after="0"/>
        <w:rPr>
          <w:rFonts w:ascii="Times New Roman" w:hAnsi="Times New Roman"/>
          <w:b/>
          <w:sz w:val="8"/>
          <w:szCs w:val="24"/>
          <w:lang w:val="pt-BR"/>
        </w:rPr>
      </w:pPr>
    </w:p>
    <w:p w:rsidR="00520908" w:rsidRDefault="00520908" w:rsidP="00D5340F">
      <w:pPr>
        <w:spacing w:after="0"/>
        <w:jc w:val="center"/>
        <w:rPr>
          <w:rFonts w:ascii="Times New Roman" w:hAnsi="Times New Roman"/>
          <w:b/>
          <w:sz w:val="8"/>
          <w:szCs w:val="24"/>
          <w:lang w:val="pt-BR"/>
        </w:rPr>
      </w:pPr>
    </w:p>
    <w:p w:rsidR="00707315" w:rsidRPr="00707315" w:rsidRDefault="00707315" w:rsidP="00707315">
      <w:pPr>
        <w:spacing w:after="0"/>
        <w:rPr>
          <w:rFonts w:ascii="Times New Roman" w:hAnsi="Times New Roman"/>
          <w:b/>
          <w:sz w:val="10"/>
          <w:szCs w:val="24"/>
          <w:lang w:val="pt-BR"/>
        </w:rPr>
      </w:pPr>
    </w:p>
    <w:p w:rsidR="002B548D" w:rsidRPr="00520908" w:rsidRDefault="00D5340F" w:rsidP="00520908">
      <w:pPr>
        <w:spacing w:after="0"/>
        <w:jc w:val="center"/>
        <w:rPr>
          <w:rFonts w:ascii="Times New Roman" w:hAnsi="Times New Roman"/>
        </w:rPr>
      </w:pPr>
      <w:r w:rsidRPr="00D91B53">
        <w:rPr>
          <w:rFonts w:ascii="Times New Roman" w:hAnsi="Times New Roman"/>
          <w:b/>
          <w:sz w:val="24"/>
          <w:szCs w:val="24"/>
          <w:lang w:val="pt-BR"/>
        </w:rPr>
        <w:t>Correspondencia:</w:t>
      </w:r>
      <w:r w:rsidR="00E71BE9">
        <w:rPr>
          <w:rFonts w:ascii="Times New Roman" w:hAnsi="Times New Roman"/>
          <w:b/>
          <w:sz w:val="24"/>
          <w:szCs w:val="24"/>
          <w:lang w:val="pt-BR"/>
        </w:rPr>
        <w:t xml:space="preserve"> </w:t>
      </w:r>
      <w:hyperlink r:id="rId25" w:history="1">
        <w:r w:rsidR="00707315" w:rsidRPr="00707315">
          <w:rPr>
            <w:rStyle w:val="Hipervnculo"/>
            <w:rFonts w:ascii="Times New Roman" w:hAnsi="Times New Roman"/>
            <w:u w:val="none"/>
          </w:rPr>
          <w:t>pporras@umet.edu.ec</w:t>
        </w:r>
      </w:hyperlink>
      <w:r w:rsidR="00707315">
        <w:t xml:space="preserve"> </w:t>
      </w:r>
    </w:p>
    <w:p w:rsidR="00520908" w:rsidRPr="002458DC" w:rsidRDefault="00520908" w:rsidP="002458DC">
      <w:pPr>
        <w:spacing w:after="0"/>
        <w:jc w:val="center"/>
        <w:rPr>
          <w:rFonts w:ascii="Times New Roman" w:hAnsi="Times New Roman"/>
          <w:b/>
          <w:sz w:val="4"/>
          <w:szCs w:val="24"/>
          <w:lang w:val="pt-BR"/>
        </w:rPr>
      </w:pPr>
    </w:p>
    <w:p w:rsidR="00824FDC" w:rsidRPr="00707315" w:rsidRDefault="00824FDC" w:rsidP="00C417DB">
      <w:pPr>
        <w:spacing w:after="0"/>
        <w:rPr>
          <w:rFonts w:ascii="Times New Roman" w:eastAsia="Times New Roman" w:hAnsi="Times New Roman"/>
          <w:color w:val="000000"/>
          <w:sz w:val="12"/>
          <w:szCs w:val="24"/>
          <w:lang w:val="pt-BR"/>
        </w:rPr>
      </w:pPr>
    </w:p>
    <w:p w:rsidR="00D5340F" w:rsidRPr="002B548D" w:rsidRDefault="00D5340F" w:rsidP="00D5340F">
      <w:pPr>
        <w:spacing w:after="0" w:line="276" w:lineRule="auto"/>
        <w:jc w:val="center"/>
        <w:rPr>
          <w:rFonts w:ascii="Times New Roman" w:eastAsia="Times New Roman" w:hAnsi="Times New Roman"/>
          <w:color w:val="000000"/>
          <w:sz w:val="24"/>
          <w:szCs w:val="24"/>
        </w:rPr>
      </w:pPr>
      <w:r w:rsidRPr="002B548D">
        <w:rPr>
          <w:rFonts w:ascii="Times New Roman" w:eastAsia="Times New Roman" w:hAnsi="Times New Roman"/>
          <w:color w:val="000000"/>
          <w:sz w:val="24"/>
          <w:szCs w:val="24"/>
        </w:rPr>
        <w:t xml:space="preserve">Ciencias </w:t>
      </w:r>
      <w:r w:rsidR="006017A0">
        <w:rPr>
          <w:rFonts w:ascii="Times New Roman" w:eastAsia="Times New Roman" w:hAnsi="Times New Roman"/>
          <w:color w:val="000000"/>
          <w:sz w:val="24"/>
          <w:szCs w:val="24"/>
        </w:rPr>
        <w:t>Técnicas y Aplicadas</w:t>
      </w:r>
      <w:r w:rsidR="001C6C0E">
        <w:rPr>
          <w:rFonts w:ascii="Times New Roman" w:eastAsia="Times New Roman" w:hAnsi="Times New Roman"/>
          <w:color w:val="000000"/>
          <w:sz w:val="24"/>
          <w:szCs w:val="24"/>
        </w:rPr>
        <w:t xml:space="preserve"> </w:t>
      </w:r>
      <w:r w:rsidR="00047EF1" w:rsidRPr="002B548D">
        <w:rPr>
          <w:rFonts w:ascii="Times New Roman" w:eastAsia="Times New Roman" w:hAnsi="Times New Roman"/>
          <w:color w:val="000000"/>
          <w:sz w:val="24"/>
          <w:szCs w:val="24"/>
        </w:rPr>
        <w:t xml:space="preserve"> </w:t>
      </w:r>
      <w:r w:rsidR="00927B29" w:rsidRPr="002B548D">
        <w:rPr>
          <w:rFonts w:ascii="Times New Roman" w:eastAsia="Times New Roman" w:hAnsi="Times New Roman"/>
          <w:color w:val="000000"/>
          <w:sz w:val="24"/>
          <w:szCs w:val="24"/>
        </w:rPr>
        <w:t xml:space="preserve"> </w:t>
      </w:r>
    </w:p>
    <w:p w:rsidR="00D5340F" w:rsidRPr="002B548D" w:rsidRDefault="00D5340F" w:rsidP="00D5340F">
      <w:pPr>
        <w:pBdr>
          <w:top w:val="nil"/>
          <w:left w:val="nil"/>
          <w:bottom w:val="nil"/>
          <w:right w:val="nil"/>
          <w:between w:val="nil"/>
        </w:pBdr>
        <w:spacing w:after="0" w:line="276" w:lineRule="auto"/>
        <w:jc w:val="center"/>
        <w:rPr>
          <w:rFonts w:ascii="Times New Roman" w:eastAsia="Times New Roman" w:hAnsi="Times New Roman"/>
          <w:color w:val="000000"/>
          <w:sz w:val="24"/>
          <w:szCs w:val="24"/>
        </w:rPr>
      </w:pPr>
      <w:r w:rsidRPr="002B548D">
        <w:rPr>
          <w:rFonts w:ascii="Times New Roman" w:eastAsia="Times New Roman" w:hAnsi="Times New Roman"/>
          <w:color w:val="000000"/>
          <w:sz w:val="24"/>
          <w:szCs w:val="24"/>
        </w:rPr>
        <w:t xml:space="preserve">Artículo de </w:t>
      </w:r>
      <w:r w:rsidR="00707315">
        <w:rPr>
          <w:rFonts w:ascii="Times New Roman" w:eastAsia="Times New Roman" w:hAnsi="Times New Roman"/>
          <w:color w:val="000000"/>
          <w:sz w:val="24"/>
          <w:szCs w:val="24"/>
        </w:rPr>
        <w:t xml:space="preserve">Revisión </w:t>
      </w:r>
      <w:r w:rsidR="00927B29" w:rsidRPr="002B548D">
        <w:rPr>
          <w:rFonts w:ascii="Times New Roman" w:eastAsia="Times New Roman" w:hAnsi="Times New Roman"/>
          <w:color w:val="000000"/>
          <w:sz w:val="24"/>
          <w:szCs w:val="24"/>
        </w:rPr>
        <w:t xml:space="preserve"> </w:t>
      </w:r>
      <w:r w:rsidRPr="002B548D">
        <w:rPr>
          <w:rFonts w:ascii="Times New Roman" w:eastAsia="Times New Roman" w:hAnsi="Times New Roman"/>
          <w:color w:val="000000"/>
          <w:sz w:val="24"/>
          <w:szCs w:val="24"/>
        </w:rPr>
        <w:t xml:space="preserve"> </w:t>
      </w:r>
    </w:p>
    <w:p w:rsidR="00436019" w:rsidRPr="00047EF1" w:rsidRDefault="00436019" w:rsidP="00DE5B7B">
      <w:pPr>
        <w:pBdr>
          <w:top w:val="nil"/>
          <w:left w:val="nil"/>
          <w:bottom w:val="nil"/>
          <w:right w:val="nil"/>
          <w:between w:val="nil"/>
        </w:pBdr>
        <w:spacing w:after="0" w:line="276" w:lineRule="auto"/>
        <w:rPr>
          <w:rFonts w:ascii="Times New Roman" w:eastAsia="Times New Roman" w:hAnsi="Times New Roman"/>
          <w:color w:val="000000"/>
          <w:sz w:val="4"/>
          <w:szCs w:val="24"/>
        </w:rPr>
      </w:pPr>
    </w:p>
    <w:p w:rsidR="00824FDC" w:rsidRPr="00707315" w:rsidRDefault="00824FDC" w:rsidP="00D5340F">
      <w:pPr>
        <w:pStyle w:val="Sinespaciado"/>
        <w:spacing w:line="360" w:lineRule="auto"/>
        <w:jc w:val="center"/>
        <w:rPr>
          <w:rFonts w:ascii="Times New Roman" w:hAnsi="Times New Roman"/>
          <w:b/>
          <w:sz w:val="14"/>
          <w:szCs w:val="20"/>
          <w:lang w:eastAsia="es-EC"/>
        </w:rPr>
      </w:pPr>
    </w:p>
    <w:p w:rsidR="002458DC" w:rsidRPr="00707315" w:rsidRDefault="00D5340F" w:rsidP="00707315">
      <w:pPr>
        <w:pStyle w:val="Sinespaciado"/>
        <w:spacing w:line="360" w:lineRule="auto"/>
        <w:jc w:val="center"/>
        <w:rPr>
          <w:rFonts w:ascii="Times New Roman" w:hAnsi="Times New Roman"/>
          <w:sz w:val="20"/>
          <w:szCs w:val="20"/>
          <w:lang w:eastAsia="es-EC"/>
        </w:rPr>
      </w:pPr>
      <w:r w:rsidRPr="002B548D">
        <w:rPr>
          <w:rFonts w:ascii="Times New Roman" w:hAnsi="Times New Roman"/>
          <w:b/>
          <w:sz w:val="20"/>
          <w:szCs w:val="20"/>
          <w:lang w:eastAsia="es-EC"/>
        </w:rPr>
        <w:t>*Recibido:</w:t>
      </w:r>
      <w:r w:rsidR="00BB0AC7">
        <w:rPr>
          <w:rFonts w:ascii="Times New Roman" w:hAnsi="Times New Roman"/>
          <w:sz w:val="20"/>
          <w:szCs w:val="20"/>
          <w:lang w:eastAsia="es-EC"/>
        </w:rPr>
        <w:t xml:space="preserve"> 01</w:t>
      </w:r>
      <w:r w:rsidR="000B49E6" w:rsidRPr="002B548D">
        <w:rPr>
          <w:rFonts w:ascii="Times New Roman" w:hAnsi="Times New Roman"/>
          <w:sz w:val="20"/>
          <w:szCs w:val="20"/>
          <w:lang w:eastAsia="es-EC"/>
        </w:rPr>
        <w:t xml:space="preserve"> de octu</w:t>
      </w:r>
      <w:r w:rsidRPr="002B548D">
        <w:rPr>
          <w:rFonts w:ascii="Times New Roman" w:hAnsi="Times New Roman"/>
          <w:sz w:val="20"/>
          <w:szCs w:val="20"/>
          <w:lang w:eastAsia="es-EC"/>
        </w:rPr>
        <w:t xml:space="preserve">bre de 2021 </w:t>
      </w:r>
      <w:r w:rsidRPr="002B548D">
        <w:rPr>
          <w:rFonts w:ascii="Times New Roman" w:hAnsi="Times New Roman"/>
          <w:b/>
          <w:sz w:val="20"/>
          <w:szCs w:val="20"/>
          <w:lang w:eastAsia="es-EC"/>
        </w:rPr>
        <w:t>*Aceptado:</w:t>
      </w:r>
      <w:r w:rsidR="00270DD9" w:rsidRPr="002B548D">
        <w:rPr>
          <w:rFonts w:ascii="Times New Roman" w:hAnsi="Times New Roman"/>
          <w:sz w:val="20"/>
          <w:szCs w:val="20"/>
          <w:lang w:eastAsia="es-EC"/>
        </w:rPr>
        <w:t xml:space="preserve"> </w:t>
      </w:r>
      <w:r w:rsidR="00516658">
        <w:rPr>
          <w:rFonts w:ascii="Times New Roman" w:hAnsi="Times New Roman"/>
          <w:sz w:val="20"/>
          <w:szCs w:val="20"/>
          <w:lang w:eastAsia="es-EC"/>
        </w:rPr>
        <w:t>20 Noviembre</w:t>
      </w:r>
      <w:r w:rsidRPr="002B548D">
        <w:rPr>
          <w:rFonts w:ascii="Times New Roman" w:hAnsi="Times New Roman"/>
          <w:sz w:val="20"/>
          <w:szCs w:val="20"/>
          <w:lang w:eastAsia="es-EC"/>
        </w:rPr>
        <w:t xml:space="preserve"> de 2021 </w:t>
      </w:r>
      <w:r w:rsidRPr="002B548D">
        <w:rPr>
          <w:rFonts w:ascii="Times New Roman" w:hAnsi="Times New Roman"/>
          <w:b/>
          <w:sz w:val="20"/>
          <w:szCs w:val="20"/>
          <w:lang w:eastAsia="es-EC"/>
        </w:rPr>
        <w:t xml:space="preserve">* Publicado: </w:t>
      </w:r>
      <w:r w:rsidR="00824FDC">
        <w:rPr>
          <w:rFonts w:ascii="Times New Roman" w:hAnsi="Times New Roman"/>
          <w:sz w:val="20"/>
          <w:szCs w:val="20"/>
          <w:lang w:eastAsia="es-EC"/>
        </w:rPr>
        <w:t>30</w:t>
      </w:r>
      <w:r w:rsidRPr="002B548D">
        <w:rPr>
          <w:rFonts w:ascii="Times New Roman" w:hAnsi="Times New Roman"/>
          <w:sz w:val="20"/>
          <w:szCs w:val="20"/>
          <w:lang w:eastAsia="es-EC"/>
        </w:rPr>
        <w:t xml:space="preserve"> de Diciembre de 2021</w:t>
      </w:r>
    </w:p>
    <w:p w:rsidR="00824FDC" w:rsidRPr="00707315" w:rsidRDefault="00824FDC" w:rsidP="00520908">
      <w:pPr>
        <w:pStyle w:val="Sinespaciado"/>
        <w:spacing w:line="360" w:lineRule="auto"/>
        <w:jc w:val="center"/>
        <w:rPr>
          <w:rFonts w:ascii="Times New Roman" w:hAnsi="Times New Roman"/>
          <w:sz w:val="4"/>
          <w:szCs w:val="20"/>
          <w:lang w:eastAsia="es-EC"/>
        </w:rPr>
      </w:pPr>
    </w:p>
    <w:p w:rsidR="00D5340F" w:rsidRPr="008F75DF" w:rsidRDefault="00D5340F" w:rsidP="00D5340F">
      <w:pPr>
        <w:pStyle w:val="Sinespaciado"/>
        <w:spacing w:line="360" w:lineRule="auto"/>
        <w:jc w:val="center"/>
        <w:rPr>
          <w:rFonts w:ascii="Times New Roman" w:hAnsi="Times New Roman"/>
          <w:sz w:val="2"/>
          <w:szCs w:val="20"/>
          <w:lang w:eastAsia="es-EC"/>
        </w:rPr>
      </w:pPr>
    </w:p>
    <w:p w:rsidR="00D5340F" w:rsidRPr="00047EF1" w:rsidRDefault="00D5340F" w:rsidP="00D5340F">
      <w:pPr>
        <w:pStyle w:val="Sinespaciado"/>
        <w:spacing w:line="360" w:lineRule="auto"/>
        <w:jc w:val="both"/>
        <w:rPr>
          <w:rFonts w:ascii="Times New Roman" w:hAnsi="Times New Roman"/>
          <w:sz w:val="2"/>
          <w:szCs w:val="20"/>
          <w:lang w:eastAsia="es-EC"/>
        </w:rPr>
      </w:pPr>
    </w:p>
    <w:p w:rsidR="00707315" w:rsidRPr="00707315" w:rsidRDefault="00824FDC" w:rsidP="00707315">
      <w:pPr>
        <w:numPr>
          <w:ilvl w:val="0"/>
          <w:numId w:val="2"/>
        </w:numPr>
        <w:spacing w:after="0" w:line="360" w:lineRule="auto"/>
        <w:rPr>
          <w:rFonts w:ascii="Times New Roman" w:eastAsia="Times New Roman" w:hAnsi="Times New Roman"/>
          <w:sz w:val="18"/>
          <w:szCs w:val="17"/>
        </w:rPr>
      </w:pPr>
      <w:r w:rsidRPr="00707315">
        <w:rPr>
          <w:rFonts w:ascii="Times New Roman" w:eastAsia="Times New Roman" w:hAnsi="Times New Roman"/>
          <w:sz w:val="18"/>
          <w:szCs w:val="17"/>
        </w:rPr>
        <w:t xml:space="preserve">Abogado </w:t>
      </w:r>
      <w:r w:rsidR="00707315" w:rsidRPr="00707315">
        <w:rPr>
          <w:rFonts w:ascii="Times New Roman" w:eastAsia="Times New Roman" w:hAnsi="Times New Roman"/>
          <w:sz w:val="18"/>
          <w:szCs w:val="17"/>
        </w:rPr>
        <w:t>Abogada de los Tribunales y Juzgados de la República del Ecuador UTMACH, Magíster en Derecho Penal con mención en Derecho Procesal Penal UCE, Doctorante en la Universidad Católica de Argentina, Docente en Carrera de Derecho de Univers</w:t>
      </w:r>
      <w:r w:rsidR="00707315">
        <w:rPr>
          <w:rFonts w:ascii="Times New Roman" w:eastAsia="Times New Roman" w:hAnsi="Times New Roman"/>
          <w:sz w:val="18"/>
          <w:szCs w:val="17"/>
        </w:rPr>
        <w:t xml:space="preserve">idad Metropolitana Sede Machala, Machala, Ecuador. </w:t>
      </w:r>
    </w:p>
    <w:p w:rsidR="00707315" w:rsidRPr="00707315" w:rsidRDefault="00707315" w:rsidP="00707315">
      <w:pPr>
        <w:numPr>
          <w:ilvl w:val="0"/>
          <w:numId w:val="2"/>
        </w:numPr>
        <w:spacing w:after="0" w:line="360" w:lineRule="auto"/>
        <w:rPr>
          <w:rFonts w:ascii="Times New Roman" w:eastAsia="Times New Roman" w:hAnsi="Times New Roman"/>
          <w:sz w:val="18"/>
          <w:szCs w:val="17"/>
        </w:rPr>
      </w:pPr>
      <w:r w:rsidRPr="00707315">
        <w:rPr>
          <w:rFonts w:ascii="Times New Roman" w:eastAsia="Times New Roman" w:hAnsi="Times New Roman"/>
          <w:sz w:val="18"/>
          <w:szCs w:val="17"/>
        </w:rPr>
        <w:t>Abogada de los Tribunales de Justicia de la República y Licenciada en Ciencias Políticas y Sociales por la Universidad Estatal de Cuenca, Master en Gestión Pública Avanzada por la Universidad de Barcelona, Docente en Carrera de Derecho de Universidad Metropolitana Sede Machala</w:t>
      </w:r>
      <w:r>
        <w:rPr>
          <w:rFonts w:ascii="Times New Roman" w:eastAsia="Times New Roman" w:hAnsi="Times New Roman"/>
          <w:sz w:val="18"/>
          <w:szCs w:val="17"/>
        </w:rPr>
        <w:t>, Machala, Ecuador.</w:t>
      </w:r>
    </w:p>
    <w:p w:rsidR="00707315" w:rsidRPr="00707315" w:rsidRDefault="00707315" w:rsidP="00707315">
      <w:pPr>
        <w:numPr>
          <w:ilvl w:val="0"/>
          <w:numId w:val="2"/>
        </w:numPr>
        <w:spacing w:after="0" w:line="360" w:lineRule="auto"/>
        <w:rPr>
          <w:rFonts w:ascii="Times New Roman" w:eastAsia="Times New Roman" w:hAnsi="Times New Roman"/>
          <w:sz w:val="18"/>
          <w:szCs w:val="17"/>
        </w:rPr>
      </w:pPr>
      <w:r w:rsidRPr="00707315">
        <w:rPr>
          <w:rFonts w:ascii="Times New Roman" w:eastAsia="Times New Roman" w:hAnsi="Times New Roman"/>
          <w:sz w:val="18"/>
          <w:szCs w:val="17"/>
        </w:rPr>
        <w:t>Abogado de los Tribunales y Juzgados de la República del Ecuador UTMACH, Especialista en Derecho Procesal Penal UNIANDES, Magister en Investigación en área de Derecho Constitucional UASB, Doctorando en Derecho UASB. Docente en Carrera de Derecho de Univers</w:t>
      </w:r>
      <w:r>
        <w:rPr>
          <w:rFonts w:ascii="Times New Roman" w:eastAsia="Times New Roman" w:hAnsi="Times New Roman"/>
          <w:sz w:val="18"/>
          <w:szCs w:val="17"/>
        </w:rPr>
        <w:t>idad Metropolitana Sede Machala, Machala, Ecuador.</w:t>
      </w:r>
    </w:p>
    <w:p w:rsidR="002258C4" w:rsidRPr="00707315" w:rsidRDefault="00707315" w:rsidP="00707315">
      <w:pPr>
        <w:numPr>
          <w:ilvl w:val="0"/>
          <w:numId w:val="2"/>
        </w:numPr>
        <w:spacing w:after="0" w:line="360" w:lineRule="auto"/>
        <w:rPr>
          <w:rFonts w:ascii="Times New Roman" w:eastAsia="Times New Roman" w:hAnsi="Times New Roman"/>
          <w:sz w:val="18"/>
          <w:szCs w:val="17"/>
        </w:rPr>
      </w:pPr>
      <w:r w:rsidRPr="00707315">
        <w:rPr>
          <w:rFonts w:ascii="Times New Roman" w:eastAsia="Times New Roman" w:hAnsi="Times New Roman"/>
          <w:sz w:val="18"/>
          <w:szCs w:val="17"/>
        </w:rPr>
        <w:t>Abogado de los Tribunales y Juzgados de la República del Ecuador por la Universidad de Guayaquil, Magister en Fiscalidad Internacional por la Universidad de la Rioja, España. Docente en Carrera de Derecho de Univers</w:t>
      </w:r>
      <w:r>
        <w:rPr>
          <w:rFonts w:ascii="Times New Roman" w:eastAsia="Times New Roman" w:hAnsi="Times New Roman"/>
          <w:sz w:val="18"/>
          <w:szCs w:val="17"/>
        </w:rPr>
        <w:t>idad Metropolitana Sede Machala, Machala, Ecuador.</w:t>
      </w:r>
    </w:p>
    <w:p w:rsidR="002458DC" w:rsidRPr="006422A6" w:rsidRDefault="002458DC" w:rsidP="006422A6">
      <w:pPr>
        <w:spacing w:after="0" w:line="360" w:lineRule="auto"/>
        <w:ind w:left="360"/>
        <w:rPr>
          <w:rFonts w:ascii="Times New Roman" w:eastAsia="Times New Roman" w:hAnsi="Times New Roman"/>
          <w:sz w:val="18"/>
          <w:szCs w:val="17"/>
        </w:rPr>
        <w:sectPr w:rsidR="002458DC" w:rsidRPr="006422A6" w:rsidSect="002C5D3B">
          <w:headerReference w:type="even" r:id="rId26"/>
          <w:headerReference w:type="default" r:id="rId27"/>
          <w:footerReference w:type="even" r:id="rId28"/>
          <w:footerReference w:type="default" r:id="rId29"/>
          <w:headerReference w:type="first" r:id="rId30"/>
          <w:footerReference w:type="first" r:id="rId31"/>
          <w:pgSz w:w="12240" w:h="15840" w:code="1"/>
          <w:pgMar w:top="1418" w:right="1418" w:bottom="1418" w:left="1418" w:header="709" w:footer="709" w:gutter="0"/>
          <w:pgNumType w:start="42"/>
          <w:cols w:space="708"/>
          <w:titlePg/>
          <w:docGrid w:linePitch="360"/>
        </w:sectPr>
      </w:pPr>
      <w:r w:rsidRPr="002458DC">
        <w:rPr>
          <w:rFonts w:ascii="Times New Roman" w:eastAsia="Times New Roman" w:hAnsi="Times New Roman"/>
          <w:sz w:val="18"/>
          <w:szCs w:val="17"/>
        </w:rPr>
        <w:t xml:space="preserve"> </w:t>
      </w:r>
    </w:p>
    <w:p w:rsidR="00824FDC" w:rsidRPr="00824FDC" w:rsidRDefault="00824FDC" w:rsidP="00707315">
      <w:pPr>
        <w:spacing w:after="0" w:line="360" w:lineRule="auto"/>
        <w:jc w:val="both"/>
        <w:rPr>
          <w:rFonts w:ascii="Times New Roman" w:hAnsi="Times New Roman"/>
          <w:b/>
          <w:sz w:val="26"/>
          <w:szCs w:val="26"/>
          <w:lang w:val="es-ES"/>
        </w:rPr>
      </w:pPr>
      <w:r>
        <w:rPr>
          <w:rFonts w:ascii="Times New Roman" w:hAnsi="Times New Roman"/>
          <w:b/>
          <w:sz w:val="26"/>
          <w:szCs w:val="26"/>
          <w:lang w:val="es-ES"/>
        </w:rPr>
        <w:lastRenderedPageBreak/>
        <w:t>Resumen</w:t>
      </w:r>
    </w:p>
    <w:p w:rsidR="00707315" w:rsidRPr="00707315" w:rsidRDefault="00707315" w:rsidP="00707315">
      <w:pPr>
        <w:spacing w:line="360" w:lineRule="auto"/>
        <w:contextualSpacing/>
        <w:jc w:val="both"/>
        <w:rPr>
          <w:rFonts w:ascii="Times New Roman" w:hAnsi="Times New Roman"/>
          <w:sz w:val="24"/>
          <w:szCs w:val="24"/>
          <w:lang w:val="es-ES"/>
        </w:rPr>
      </w:pPr>
      <w:r w:rsidRPr="00707315">
        <w:rPr>
          <w:rFonts w:ascii="Times New Roman" w:hAnsi="Times New Roman"/>
          <w:sz w:val="24"/>
          <w:szCs w:val="24"/>
          <w:lang w:val="es-ES"/>
        </w:rPr>
        <w:t>El presente trabajo expone una visión crítica de la legislación comparada en relación con nuestro país, en lo referente a lo que para otros países latinoamericanos supone como requisito de admisibilidad la inmediatez entre la presentación a la acción y la vulneración de los derechos constitucionales o término para la interposición de la acción de protección, situación que en comparación es distinta en nuestro país, pues, el plazo para la interposición de esta acción no está explícitamente definido, anomia que ha sido resuelta por la Corte Constitucional con una visión garantista del debido proceso y una perspectiva humanista de las garantías jurisdiccionales como tutela de los derechos constitucionales.</w:t>
      </w:r>
    </w:p>
    <w:p w:rsidR="00707315" w:rsidRDefault="00707315" w:rsidP="00707315">
      <w:pPr>
        <w:spacing w:line="360" w:lineRule="auto"/>
        <w:contextualSpacing/>
        <w:jc w:val="both"/>
        <w:rPr>
          <w:rFonts w:ascii="Times New Roman" w:hAnsi="Times New Roman"/>
          <w:sz w:val="24"/>
          <w:szCs w:val="24"/>
          <w:lang w:val="es-ES"/>
        </w:rPr>
      </w:pPr>
      <w:r w:rsidRPr="00707315">
        <w:rPr>
          <w:rFonts w:ascii="Times New Roman" w:hAnsi="Times New Roman"/>
          <w:b/>
          <w:sz w:val="24"/>
          <w:szCs w:val="24"/>
          <w:lang w:val="es-ES"/>
        </w:rPr>
        <w:t>Palabras clave:</w:t>
      </w:r>
      <w:r>
        <w:rPr>
          <w:rFonts w:ascii="Times New Roman" w:hAnsi="Times New Roman"/>
          <w:sz w:val="24"/>
          <w:szCs w:val="24"/>
          <w:lang w:val="es-ES"/>
        </w:rPr>
        <w:t xml:space="preserve"> Admisibilidad; temporalidad;</w:t>
      </w:r>
      <w:r w:rsidRPr="00707315">
        <w:rPr>
          <w:rFonts w:ascii="Times New Roman" w:hAnsi="Times New Roman"/>
          <w:sz w:val="24"/>
          <w:szCs w:val="24"/>
          <w:lang w:val="es-ES"/>
        </w:rPr>
        <w:t xml:space="preserve"> imprescr</w:t>
      </w:r>
      <w:r>
        <w:rPr>
          <w:rFonts w:ascii="Times New Roman" w:hAnsi="Times New Roman"/>
          <w:sz w:val="24"/>
          <w:szCs w:val="24"/>
          <w:lang w:val="es-ES"/>
        </w:rPr>
        <w:t>iptibilidad;</w:t>
      </w:r>
      <w:r w:rsidRPr="00707315">
        <w:rPr>
          <w:rFonts w:ascii="Times New Roman" w:hAnsi="Times New Roman"/>
          <w:sz w:val="24"/>
          <w:szCs w:val="24"/>
          <w:lang w:val="es-ES"/>
        </w:rPr>
        <w:t xml:space="preserve"> garantía e irrenunciabilidad.</w:t>
      </w:r>
    </w:p>
    <w:p w:rsidR="00707315" w:rsidRPr="00707315" w:rsidRDefault="00707315" w:rsidP="00707315">
      <w:pPr>
        <w:spacing w:line="360" w:lineRule="auto"/>
        <w:contextualSpacing/>
        <w:jc w:val="both"/>
        <w:rPr>
          <w:rFonts w:ascii="Times New Roman" w:hAnsi="Times New Roman"/>
          <w:sz w:val="24"/>
          <w:szCs w:val="24"/>
          <w:lang w:val="es-ES"/>
        </w:rPr>
      </w:pPr>
    </w:p>
    <w:p w:rsidR="00707315" w:rsidRPr="00707315" w:rsidRDefault="00707315" w:rsidP="00707315">
      <w:pPr>
        <w:spacing w:line="360" w:lineRule="auto"/>
        <w:contextualSpacing/>
        <w:jc w:val="both"/>
        <w:rPr>
          <w:rFonts w:ascii="Times New Roman" w:hAnsi="Times New Roman"/>
          <w:b/>
          <w:sz w:val="26"/>
          <w:szCs w:val="26"/>
          <w:lang w:val="en-US"/>
        </w:rPr>
      </w:pPr>
      <w:r w:rsidRPr="00707315">
        <w:rPr>
          <w:rFonts w:ascii="Times New Roman" w:hAnsi="Times New Roman"/>
          <w:b/>
          <w:sz w:val="26"/>
          <w:szCs w:val="26"/>
          <w:lang w:val="en-US"/>
        </w:rPr>
        <w:t>Abstract</w:t>
      </w:r>
    </w:p>
    <w:p w:rsidR="00707315" w:rsidRPr="00707315" w:rsidRDefault="00707315" w:rsidP="00707315">
      <w:pPr>
        <w:spacing w:line="360" w:lineRule="auto"/>
        <w:contextualSpacing/>
        <w:jc w:val="both"/>
        <w:rPr>
          <w:rFonts w:ascii="Times New Roman" w:hAnsi="Times New Roman"/>
          <w:sz w:val="24"/>
          <w:szCs w:val="24"/>
          <w:lang w:val="en-US"/>
        </w:rPr>
      </w:pPr>
      <w:r w:rsidRPr="00707315">
        <w:rPr>
          <w:rFonts w:ascii="Times New Roman" w:hAnsi="Times New Roman"/>
          <w:sz w:val="24"/>
          <w:szCs w:val="24"/>
          <w:lang w:val="en-US"/>
        </w:rPr>
        <w:t>The present work presents a critical vision of comparative legislation in relation to our country, regarding what for other Latin American countries the immediacy between the presentation to the action and the violation of constitutional rights supposes as admissibility requirement or I finish the filing of the protection action, a situation that in comparison is different in our country, since the term for filing this action is not explicitly defined, an anomaly that has been resolved by the Constitutional Court with a guarantee view of due process and a Humanistic perspective of jurisdictional guarantees as protection of constitutional rights.</w:t>
      </w:r>
    </w:p>
    <w:p w:rsidR="00520908" w:rsidRPr="00707315" w:rsidRDefault="00707315" w:rsidP="00707315">
      <w:pPr>
        <w:spacing w:line="360" w:lineRule="auto"/>
        <w:contextualSpacing/>
        <w:jc w:val="both"/>
        <w:rPr>
          <w:rFonts w:ascii="Times New Roman" w:hAnsi="Times New Roman"/>
          <w:sz w:val="24"/>
          <w:szCs w:val="24"/>
          <w:lang w:val="en-US"/>
        </w:rPr>
      </w:pPr>
      <w:r w:rsidRPr="00707315">
        <w:rPr>
          <w:rFonts w:ascii="Times New Roman" w:hAnsi="Times New Roman"/>
          <w:b/>
          <w:sz w:val="24"/>
          <w:szCs w:val="24"/>
          <w:lang w:val="en-US"/>
        </w:rPr>
        <w:t>Keywords:</w:t>
      </w:r>
      <w:r w:rsidRPr="00707315">
        <w:rPr>
          <w:rFonts w:ascii="Times New Roman" w:hAnsi="Times New Roman"/>
          <w:sz w:val="24"/>
          <w:szCs w:val="24"/>
          <w:lang w:val="en-US"/>
        </w:rPr>
        <w:t xml:space="preserve"> </w:t>
      </w:r>
      <w:r>
        <w:rPr>
          <w:rFonts w:ascii="Times New Roman" w:hAnsi="Times New Roman"/>
          <w:sz w:val="24"/>
          <w:szCs w:val="24"/>
          <w:lang w:val="en-US"/>
        </w:rPr>
        <w:t xml:space="preserve">Admissibility; temporality; imprescriptibility; </w:t>
      </w:r>
      <w:r w:rsidRPr="00707315">
        <w:rPr>
          <w:rFonts w:ascii="Times New Roman" w:hAnsi="Times New Roman"/>
          <w:sz w:val="24"/>
          <w:szCs w:val="24"/>
          <w:lang w:val="en-US"/>
        </w:rPr>
        <w:t>guarantee and inalienability</w:t>
      </w:r>
    </w:p>
    <w:p w:rsidR="00707315" w:rsidRPr="00707315" w:rsidRDefault="00707315" w:rsidP="00707315">
      <w:pPr>
        <w:spacing w:line="360" w:lineRule="auto"/>
        <w:contextualSpacing/>
        <w:jc w:val="both"/>
        <w:rPr>
          <w:rFonts w:ascii="Times New Roman" w:hAnsi="Times New Roman"/>
          <w:color w:val="000000"/>
          <w:sz w:val="24"/>
          <w:szCs w:val="26"/>
          <w:lang w:val="en-US"/>
        </w:rPr>
      </w:pPr>
    </w:p>
    <w:p w:rsidR="00520908" w:rsidRPr="00824FDC" w:rsidRDefault="00824FDC" w:rsidP="004A1F65">
      <w:pPr>
        <w:spacing w:line="360" w:lineRule="auto"/>
        <w:contextualSpacing/>
        <w:jc w:val="both"/>
        <w:rPr>
          <w:rFonts w:ascii="Times New Roman" w:hAnsi="Times New Roman"/>
          <w:b/>
          <w:color w:val="000000"/>
          <w:sz w:val="26"/>
          <w:szCs w:val="26"/>
        </w:rPr>
      </w:pPr>
      <w:r w:rsidRPr="00824FDC">
        <w:rPr>
          <w:rFonts w:ascii="Times New Roman" w:hAnsi="Times New Roman"/>
          <w:b/>
          <w:color w:val="000000"/>
          <w:sz w:val="26"/>
          <w:szCs w:val="26"/>
        </w:rPr>
        <w:t xml:space="preserve">Resumo </w:t>
      </w:r>
    </w:p>
    <w:p w:rsidR="00707315" w:rsidRPr="00707315" w:rsidRDefault="00707315" w:rsidP="00707315">
      <w:pPr>
        <w:spacing w:line="360" w:lineRule="auto"/>
        <w:contextualSpacing/>
        <w:jc w:val="both"/>
        <w:rPr>
          <w:rFonts w:ascii="Times New Roman" w:hAnsi="Times New Roman"/>
          <w:color w:val="000000"/>
          <w:sz w:val="24"/>
          <w:szCs w:val="26"/>
        </w:rPr>
      </w:pPr>
      <w:r w:rsidRPr="00707315">
        <w:rPr>
          <w:rFonts w:ascii="Times New Roman" w:hAnsi="Times New Roman"/>
          <w:color w:val="000000"/>
          <w:sz w:val="24"/>
          <w:szCs w:val="26"/>
        </w:rPr>
        <w:t>O presente trabalho apresenta uma visão crítica da legislação comparada em relação ao nosso país, em relação ao que para outros países latino-americanos o imediatismo entre a apresentação da ação e a violação de direitos constitucionais ou prazo para a propositura da ação de proteção, Situação que em comparação é diferente em nosso país, uma vez que o prazo para ajuizamento desta ação não está explicitamente definido, uma anomia que foi resolvida pelo Tribunal Constitucional com uma visão garantida do devido processo e uma perspectiva humanística das garantias jurisdicionais como tutela de direitos constitucionais.</w:t>
      </w:r>
    </w:p>
    <w:p w:rsidR="00707315" w:rsidRPr="00824FDC" w:rsidRDefault="00707315" w:rsidP="00707315">
      <w:pPr>
        <w:spacing w:line="360" w:lineRule="auto"/>
        <w:contextualSpacing/>
        <w:jc w:val="both"/>
        <w:rPr>
          <w:rFonts w:ascii="Times New Roman" w:hAnsi="Times New Roman"/>
          <w:color w:val="000000"/>
          <w:sz w:val="24"/>
          <w:szCs w:val="26"/>
        </w:rPr>
      </w:pPr>
      <w:r w:rsidRPr="00707315">
        <w:rPr>
          <w:rFonts w:ascii="Times New Roman" w:hAnsi="Times New Roman"/>
          <w:b/>
          <w:color w:val="000000"/>
          <w:sz w:val="24"/>
          <w:szCs w:val="26"/>
        </w:rPr>
        <w:t>Palavras-chave:</w:t>
      </w:r>
      <w:r w:rsidRPr="00707315">
        <w:rPr>
          <w:rFonts w:ascii="Times New Roman" w:hAnsi="Times New Roman"/>
          <w:color w:val="000000"/>
          <w:sz w:val="24"/>
          <w:szCs w:val="26"/>
        </w:rPr>
        <w:t xml:space="preserve"> Admissibilidade; temporalidade; imprescritibilidade; garantia e inalienabilidade.</w:t>
      </w:r>
    </w:p>
    <w:p w:rsidR="00824FDC" w:rsidRPr="00707315" w:rsidRDefault="00824FDC" w:rsidP="00707315">
      <w:pPr>
        <w:spacing w:after="0" w:line="360" w:lineRule="auto"/>
        <w:contextualSpacing/>
        <w:jc w:val="both"/>
        <w:rPr>
          <w:rFonts w:ascii="Times New Roman" w:hAnsi="Times New Roman"/>
          <w:b/>
          <w:color w:val="000000"/>
          <w:sz w:val="26"/>
          <w:szCs w:val="26"/>
        </w:rPr>
      </w:pPr>
      <w:r w:rsidRPr="00707315">
        <w:rPr>
          <w:rFonts w:ascii="Times New Roman" w:hAnsi="Times New Roman"/>
          <w:b/>
          <w:color w:val="000000"/>
          <w:sz w:val="26"/>
          <w:szCs w:val="26"/>
        </w:rPr>
        <w:t>Introducción</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La acción de protección tiene la calidad de garantía jurisdiccional y se encuentra establecida en la vigente Constitución de la República del Ecuador (desde ahora CRE), que anteriormente, en la derogada constitución de 1998, era conocida como acción de amparo.</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Desde el 2008, la vigente CRE dejó sin efecto anteriores precedentes jurisprudenciales de una manera tácita; dichos precedentes preveían confusamente a la inmediatez o incluso la existencia de requisitos de temporalidad para la presentación de la denominada acción de amparo. Al derogarse la anterior constitución en mención, se entiende que sus precedentes quedarán sin efecto de igual forma, y que a su vez, se generarán nuevos precedentes que se adecúen de forma dinámica a la nueva CRE y al paradigma garantista generado por los tratados internacionales vinculantes para el Estado ecuatoriano.</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Actualmente, según la pirámide normativa en el Ecuador, la acción de protección tiene como fin cesar una vulneración de derechos actual (daño), devolver al estado inmediatamente anterior como si no se hubiera producido vulneración de derechos constitucionales, reparación eficaz e inmediata del derecho vulnerado, la protección del derecho constitucional en peligro y la reparación del mismo por su lesión o amenaza, ya sea que el gestor de la acción u omisión dañosa sea una autoridad administrativa o frente a un particular, la cual en lo concerniente a requisitos de admisibilidad, procedibilidad y contenido de la demanda se encuentra regulada especialmente en la Ley Orgánica de Garantías Jurisdiccionales y Control Constitucional (desde ahora LOGJCC).</w:t>
      </w:r>
    </w:p>
    <w:p w:rsid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hAnsi="Times New Roman"/>
          <w:color w:val="000000"/>
          <w:sz w:val="24"/>
          <w:szCs w:val="24"/>
          <w:lang w:val="es-ES"/>
        </w:rPr>
        <w:t xml:space="preserve">El objetivo del presente trabajo de investigación está centrado en determinar si la legislación ecuatoriana se adecúa plenamente a considerar la inmediatez a manera de requisito para proponer una acción de protección o si el criterio de inmediatez vulnera el acceso a la justicia y limita derechos constitucionales y humanos no susceptibles de menoscabo o limitación alguna, </w:t>
      </w:r>
      <w:r w:rsidRPr="00707315">
        <w:rPr>
          <w:rFonts w:ascii="Times New Roman" w:eastAsia="Times New Roman" w:hAnsi="Times New Roman"/>
          <w:color w:val="000000"/>
          <w:sz w:val="24"/>
          <w:szCs w:val="24"/>
          <w:lang w:val="es-ES" w:eastAsia="es-ES"/>
        </w:rPr>
        <w:t>así como la divergencia entre la necesidad de ponderar entre la tutela efectiva de un derecho  fundamental vulnerado y la inmediatez en la presentación de la garantía jurisdiccional en mención.</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p>
    <w:p w:rsidR="00707315" w:rsidRPr="00707315" w:rsidRDefault="00707315" w:rsidP="00707315">
      <w:pPr>
        <w:spacing w:after="0" w:line="360" w:lineRule="auto"/>
        <w:jc w:val="both"/>
        <w:rPr>
          <w:rFonts w:ascii="Times New Roman" w:hAnsi="Times New Roman"/>
          <w:b/>
          <w:bCs/>
          <w:color w:val="000000"/>
          <w:sz w:val="26"/>
          <w:szCs w:val="26"/>
          <w:lang w:val="es-ES"/>
        </w:rPr>
      </w:pPr>
      <w:r w:rsidRPr="00707315">
        <w:rPr>
          <w:rFonts w:ascii="Times New Roman" w:hAnsi="Times New Roman"/>
          <w:b/>
          <w:bCs/>
          <w:color w:val="000000"/>
          <w:sz w:val="26"/>
          <w:szCs w:val="26"/>
          <w:lang w:val="es-ES"/>
        </w:rPr>
        <w:t>Desarrollo</w:t>
      </w:r>
    </w:p>
    <w:p w:rsidR="0078788B"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 xml:space="preserve">Admisibilidad y procedibilidad de la acción. </w:t>
      </w:r>
      <w:r w:rsidR="0078788B">
        <w:rPr>
          <w:rFonts w:ascii="Times New Roman" w:eastAsia="Times New Roman" w:hAnsi="Times New Roman"/>
          <w:b/>
          <w:color w:val="000000"/>
          <w:sz w:val="24"/>
          <w:szCs w:val="24"/>
          <w:lang w:val="es-ES" w:eastAsia="es-ES"/>
        </w:rPr>
        <w:t>–</w:t>
      </w: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hAnsi="Times New Roman"/>
          <w:color w:val="000000"/>
          <w:sz w:val="24"/>
          <w:szCs w:val="24"/>
          <w:lang w:val="es-ES"/>
        </w:rPr>
        <w:t>La Corte constitucional establece la diferenciación y el alcance de los requisitos de procedibilidad, en forma sumamente prolija, sin embargo, no existe dado en la ley un requisito de término para la interposicion de la acción. Los requisitos de admisibilidad se encuentran contenidos en los artículos 10 y 42 numerales 6 y 7 de la LOGJCC, los de procedibilidad, en contraste, yacen en los art. 40 y 42 numerales 1,2,3,4 y 5 ibidem.</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La diferenciación entre admisibilidad y procedibilidad  no tiene origen normativo, más bien, viene dada por la Corte Constitucional (desde ahora CC) en sentencia N°102-13-SEP-CC Caso N° 0380-10-EP, y en el precedente jurisprudencial obligatorio Nº 001-16-PJO-CC CASO N.0 0530-10-.JP, los requisitos de admisibilidad se referirán a aspectos formales para iniciar y tramitar la acción, en cambio los requisitos de procedibilidad serán la determinación de si existe la violacion de derechos constitucionales, es decir, verificación de asuntos de fondo o del contenido esencial de los derechos constitucionales para la aceptación o negativa de la acción.</w:t>
      </w:r>
      <w:r w:rsidRPr="00707315">
        <w:rPr>
          <w:rFonts w:ascii="Times New Roman" w:hAnsi="Times New Roman"/>
          <w:noProof/>
          <w:color w:val="000000"/>
          <w:sz w:val="24"/>
          <w:szCs w:val="24"/>
          <w:lang w:val="es-ES"/>
        </w:rPr>
        <w:t xml:space="preserve"> (102-13-SEP-CC, 2013) (001-16-PJO-CC, 2016)</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En la jurisprudencia vigente actualmente se estipula que la acción de protección no caduca o prescribe en cuanto al periodo con el que cuenta el ciudadano para  la interposición de la misma, pues el único precedente jurisprudencial más reciente expresaba que se requería inmediatez para que sea posible interponer  la acción de amparo; si se habla de amparo, se entiende que dicha jurisprudencia se refería a la Constitución Política de 1998 y a la Ley Orgánica de Control Constitucional ambas derogadas por nuevas leyes, y motivados erróneamente en ese entonces por un principio de inmediatez  y plazo razonable exigible la administración de justicia.</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En el CASO No. 179-13-EP, Sentencia No. 179-13-EP/20, la CC en su apartado 32, ha establecido que la Sala de lo Civil de la Corte Provincial de Chimborazo en dicho caso, negó una acción de protección aplicando una norma no prevista en la legislación, como es la temporalidad, limitando de esta manera la mencionada garantía jurisdiccional y por ende el tutelaje de derechos constitucionales.</w:t>
      </w:r>
      <w:r w:rsidRPr="00707315">
        <w:rPr>
          <w:rFonts w:ascii="Times New Roman" w:hAnsi="Times New Roman"/>
          <w:noProof/>
          <w:color w:val="000000"/>
          <w:sz w:val="24"/>
          <w:szCs w:val="24"/>
          <w:lang w:val="es-ES"/>
        </w:rPr>
        <w:t xml:space="preserve"> (CCE-EP-179-13 SEP-CC, 2020)</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De igual manera en el núm. 33 de la sentencia prevista en el párrafo anterior, se declaró la existencia de un atropello a la seguridad jurídica.</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En base a las premisas ya mencionadas, el factor temporalidad al interponer una acción de protección ha sido recientemente resuelto por la CC en la jurisprudencia </w:t>
      </w:r>
      <w:r w:rsidRPr="00707315">
        <w:rPr>
          <w:rFonts w:ascii="Times New Roman" w:hAnsi="Times New Roman"/>
          <w:i/>
          <w:color w:val="000000"/>
          <w:sz w:val="24"/>
          <w:szCs w:val="24"/>
          <w:lang w:val="es-ES"/>
        </w:rPr>
        <w:t>ut supra</w:t>
      </w:r>
      <w:r w:rsidRPr="00707315">
        <w:rPr>
          <w:rFonts w:ascii="Times New Roman" w:hAnsi="Times New Roman"/>
          <w:color w:val="000000"/>
          <w:sz w:val="24"/>
          <w:szCs w:val="24"/>
          <w:lang w:val="es-ES"/>
        </w:rPr>
        <w:t xml:space="preserve"> invocada, solucionando una de las mayores interrogantes jurídicas en materia de Derecho Constitucional en el Ecuador, indicando que considerar inmediatez o un término como requisitos no previstos vulnera la seguridad jurídica.</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Eventualmente antes de la emisión del invocado fallo de la CC, cuando el periodo que media entre la interposición de la Acción y el daño a los derechos constitucionales no es inmediato o inminente se declara sin lugar la acción imputándole actitud negligente al accionante como excusa para no resolver la vulneración de un derecho constitucional, especialmente cuando se trata de intereses ciudadanos en contraposición de intereses de un entidad pública, pero dichos aspectos en los que se fundamentan para negar un derecho, no se encuentran ni contemplados, ni regulados en la CRE o en la LOGJCC (en sus artículos pertinentes, es decir 39,40 y 42), existiendo ya en estos artículos un indicio de que la temporalidad no es un factor trascendente; sin embargo, muy a nuestro pesar el art. 88 de la CRE y eventualmente el art. 39 de la LOGJCC, han sido la base para la errónea interpretación y motivación para el rechazo o negativa de la acción de protección, pues consideran que la protección eficaz de derechos humanos y constitucionales conlleva que la presentación de la acción debe ser inmediata a la violación de derechos y no muchos años después, criterio considerado errado por la actual Corte Constitucional y que bajo las reglas y principios interpretativos en la rama constitucional, en lugar de favorecer la efectiva vigencia de derechos menoscababa el derecho a la acción a la justicia constitucional.</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Retomando las dificultades para entablar una acción de protección, la mayoría de jueces constitucionales, ya no sólo se amparaban en la existencia de otras vías, sino también en que el decurso del tiempo y el planteamiento de la acción sí era un factor predisponente a la negativa pues atentaba contra la seguridad jurídica afectando en la mayoría de casos resoluciones administrativas en firme y ejecutadas, y dejarlas sin efecto representaba para el imaginario judicial tradicionalmente legalista premiar la negligencia, el descuido y el abandono de su proceso al no ejercer las acciones legales ordinarias y los recursos en forma oportuna.</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Con respecto a la centralización de problemas a resolver concernientes a la admisibilidad o procedibilidad de la acción, estos eran meros distractores para los jueces, pues los distraía del problema esencial a resolver, esto es la existencia o inexistencia de derechos constitucionales vulnerados.</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La atribución que los administradores de justicia tácitamente otorgaban al accionante de una supuesta actitud negligente al no presentar a tiempo la acción inmediatamente, fue la excusa frecuente de algunos jueces, que sin solicitarle los justificativos al accionante de porque no se presentó la acción en forma inmediata, para negar las acciones de protección,  sin que este requisito de temporalidad se encuentre prestablecido en la  Constitución o la Ley, empleando entre su motivación jurisprudencia derogada tácitamente para la presentación inmediata del amparo constitucional asimilada como la acción de protección, simplemente como una diferencia lingüística sin mayor trascendencia y jurisprudencia comparada de Colombia por la entrada en vigencia de la CRE de 2008 y la LOGJCC. </w:t>
      </w:r>
    </w:p>
    <w:p w:rsidR="00707315" w:rsidRPr="00707315" w:rsidRDefault="00707315" w:rsidP="00707315">
      <w:pPr>
        <w:spacing w:after="0" w:line="360" w:lineRule="auto"/>
        <w:jc w:val="both"/>
        <w:rPr>
          <w:rFonts w:ascii="Times New Roman" w:hAnsi="Times New Roman"/>
          <w:color w:val="000000"/>
          <w:sz w:val="24"/>
          <w:szCs w:val="24"/>
          <w:shd w:val="clear" w:color="auto" w:fill="FFFFFF"/>
          <w:lang w:val="es-ES"/>
        </w:rPr>
      </w:pPr>
      <w:r w:rsidRPr="00707315">
        <w:rPr>
          <w:rFonts w:ascii="Times New Roman" w:hAnsi="Times New Roman"/>
          <w:color w:val="000000"/>
          <w:sz w:val="24"/>
          <w:szCs w:val="24"/>
          <w:shd w:val="clear" w:color="auto" w:fill="FFFFFF"/>
          <w:lang w:val="es-ES"/>
        </w:rPr>
        <w:t xml:space="preserve">Se puede dilucidar entonces, que existe más que un cambio lingüístico entre la acción de amparo y la acción de protección, sino también la implementación de nuevos principios y requisitos de admisibilidad y procedibilidad. </w:t>
      </w:r>
    </w:p>
    <w:p w:rsidR="00707315" w:rsidRPr="00707315" w:rsidRDefault="00707315" w:rsidP="00707315">
      <w:pPr>
        <w:spacing w:after="0" w:line="360" w:lineRule="auto"/>
        <w:jc w:val="both"/>
        <w:rPr>
          <w:rFonts w:ascii="Times New Roman" w:hAnsi="Times New Roman"/>
          <w:color w:val="000000"/>
          <w:sz w:val="24"/>
          <w:szCs w:val="24"/>
          <w:shd w:val="clear" w:color="auto" w:fill="FFFFFF"/>
          <w:lang w:val="es-ES"/>
        </w:rPr>
      </w:pPr>
      <w:r w:rsidRPr="00707315">
        <w:rPr>
          <w:rFonts w:ascii="Times New Roman" w:hAnsi="Times New Roman"/>
          <w:color w:val="000000"/>
          <w:sz w:val="24"/>
          <w:szCs w:val="24"/>
          <w:shd w:val="clear" w:color="auto" w:fill="FFFFFF"/>
          <w:lang w:val="es-ES"/>
        </w:rPr>
        <w:t>Por otro lado, la CC del Ecuador ha declarado las justificaciones para el retardo justificado de la acción de protección, sosteniendo nuevamente el requisito de inmediatez, en la sentencia N° 052-13-SEP-CC caso 1078-11-P; los requisitos que confusamente establece esta sentencia son la actualidad, existencia o permanencia en el tiempo del daño o vulneración de derecho provocado, y el hecho de que aquella persona que funge como víctima tenga cierta situación que pueda justificar su retardo, como incapacidad física, entre otras.</w:t>
      </w:r>
      <w:r w:rsidRPr="00707315">
        <w:rPr>
          <w:rFonts w:ascii="Times New Roman" w:hAnsi="Times New Roman"/>
          <w:noProof/>
          <w:color w:val="000000"/>
          <w:sz w:val="24"/>
          <w:szCs w:val="24"/>
          <w:shd w:val="clear" w:color="auto" w:fill="FFFFFF"/>
          <w:lang w:val="es-ES"/>
        </w:rPr>
        <w:t xml:space="preserve"> (CCE-EP-052-13 SEP-CC, 2013)</w:t>
      </w:r>
    </w:p>
    <w:p w:rsidR="00707315" w:rsidRPr="00707315" w:rsidRDefault="00707315" w:rsidP="00707315">
      <w:pPr>
        <w:spacing w:after="0" w:line="360" w:lineRule="auto"/>
        <w:jc w:val="both"/>
        <w:rPr>
          <w:rFonts w:ascii="Times New Roman" w:hAnsi="Times New Roman"/>
          <w:sz w:val="24"/>
          <w:szCs w:val="24"/>
          <w:lang w:val="es-ES"/>
        </w:rPr>
      </w:pPr>
      <w:r w:rsidRPr="00707315">
        <w:rPr>
          <w:rFonts w:ascii="Times New Roman" w:hAnsi="Times New Roman"/>
          <w:color w:val="000000"/>
          <w:sz w:val="24"/>
          <w:szCs w:val="24"/>
          <w:lang w:val="es-ES"/>
        </w:rPr>
        <w:t>La Corte Constitucional de igual forma ha referido el requisito indispensable, de la inequívoca existencia de un derecho constitucional vulnerado o menoscabado (es decir que sea verificable en todas sus formas o de lo contrario esta vía no procederá), conforme la Sentencia de Corte Constitucional N.° 001-16-PJO-CC, CASO N.° 0530-10-JP en su apartado 44.</w:t>
      </w:r>
      <w:r w:rsidRPr="00707315">
        <w:rPr>
          <w:rFonts w:ascii="Times New Roman" w:hAnsi="Times New Roman"/>
          <w:noProof/>
          <w:color w:val="000000"/>
          <w:sz w:val="24"/>
          <w:szCs w:val="24"/>
          <w:lang w:val="es-ES"/>
        </w:rPr>
        <w:t xml:space="preserve"> (001-16-PJO-CC, 2016)</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Sin embargo, enfatizando el requisito de verificación minuciosa de la existencia del derecho o derechos constitucionales vulnerados, otro requisito de procedencia analizado por la Corte Constitucional, es que no exista otra vía idónea en la justicia ordinaria para salvaguardarlos en forma eficiente sin riesgo de lesión de los mismos por el decurso del tiempo, conforme la Sentencia de Corte Constitucional N.° 001-16-PJO-CC, CASO N.° 0530-10-JP en su apartado 54.</w:t>
      </w:r>
      <w:r w:rsidRPr="00707315">
        <w:rPr>
          <w:rFonts w:ascii="Times New Roman" w:hAnsi="Times New Roman"/>
          <w:i/>
          <w:noProof/>
          <w:color w:val="000000"/>
          <w:sz w:val="24"/>
          <w:szCs w:val="24"/>
          <w:lang w:val="es-ES"/>
        </w:rPr>
        <w:t xml:space="preserve"> </w:t>
      </w:r>
      <w:r w:rsidRPr="00707315">
        <w:rPr>
          <w:rFonts w:ascii="Times New Roman" w:hAnsi="Times New Roman"/>
          <w:noProof/>
          <w:color w:val="000000"/>
          <w:sz w:val="24"/>
          <w:szCs w:val="24"/>
          <w:lang w:val="es-ES"/>
        </w:rPr>
        <w:t>(001-16-PJO-CC, 2016)</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La compleja cuestión de examinar la procedibilidad, es una delicada labor del juez, fruto del análisis de elementos fácticos, adecuación y eficacia de otras vías en relación con la vía constitucional propuesta en el caso concreto, rompiendo el paradigma tradicional de residualidad de la acción de protección frente a la tutela de derechos fundamentales vulnerados, como lo ratifica la Sentencia de Corte Constitucional N.° 001-16-PJO-CC, CASO N.º 0530-10-JP apartado 81; en el cual se establece que el juez deberá, antes de negar una acción de protección, analizar si otras vías de justicia ordinaria aplicables cumplen con dos condiciones como son la adecuación  y la eficacia</w:t>
      </w:r>
      <w:r w:rsidRPr="00707315">
        <w:rPr>
          <w:rFonts w:ascii="Times New Roman" w:hAnsi="Times New Roman"/>
          <w:i/>
          <w:color w:val="000000"/>
          <w:sz w:val="24"/>
          <w:szCs w:val="24"/>
          <w:lang w:val="es-ES"/>
        </w:rPr>
        <w:t>.</w:t>
      </w:r>
      <w:r w:rsidRPr="00707315">
        <w:rPr>
          <w:rFonts w:ascii="Times New Roman" w:hAnsi="Times New Roman"/>
          <w:i/>
          <w:noProof/>
          <w:color w:val="000000"/>
          <w:sz w:val="24"/>
          <w:szCs w:val="24"/>
          <w:lang w:val="es-ES"/>
        </w:rPr>
        <w:t xml:space="preserve"> </w:t>
      </w:r>
      <w:r w:rsidRPr="00707315">
        <w:rPr>
          <w:rFonts w:ascii="Times New Roman" w:hAnsi="Times New Roman"/>
          <w:noProof/>
          <w:color w:val="000000"/>
          <w:sz w:val="24"/>
          <w:szCs w:val="24"/>
          <w:lang w:val="es-ES"/>
        </w:rPr>
        <w:t>(001-16-PJO-CC, 2016)</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El respeto al ordenamiento jurídico y a la jerarquía normativa se traduce en el derecho a la seguridad jurídica o </w:t>
      </w:r>
      <w:r w:rsidRPr="00707315">
        <w:rPr>
          <w:rFonts w:ascii="Times New Roman" w:hAnsi="Times New Roman"/>
          <w:i/>
          <w:color w:val="000000"/>
          <w:sz w:val="24"/>
          <w:szCs w:val="24"/>
          <w:lang w:val="es-ES"/>
        </w:rPr>
        <w:t>stare decisis</w:t>
      </w:r>
      <w:r w:rsidRPr="00707315">
        <w:rPr>
          <w:rFonts w:ascii="Times New Roman" w:hAnsi="Times New Roman"/>
          <w:color w:val="000000"/>
          <w:sz w:val="24"/>
          <w:szCs w:val="24"/>
          <w:lang w:val="es-ES"/>
        </w:rPr>
        <w:t>, lo cual incluye las normas constitucionales e infraconstitucionales, así como los precedentes jurisprudenciales vinculados emitidos por la CC.</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En concordancia con el criterio expuesto la interpretación en materia constitucional y al referirnos a derechos humanos debe ser </w:t>
      </w:r>
      <w:r w:rsidRPr="00707315">
        <w:rPr>
          <w:rFonts w:ascii="Times New Roman" w:hAnsi="Times New Roman"/>
          <w:i/>
          <w:color w:val="000000"/>
          <w:sz w:val="24"/>
          <w:szCs w:val="24"/>
          <w:lang w:val="es-ES"/>
        </w:rPr>
        <w:t>pro homine</w:t>
      </w:r>
      <w:r w:rsidRPr="00707315">
        <w:rPr>
          <w:rFonts w:ascii="Times New Roman" w:hAnsi="Times New Roman"/>
          <w:color w:val="000000"/>
          <w:sz w:val="24"/>
          <w:szCs w:val="24"/>
          <w:lang w:val="es-ES"/>
        </w:rPr>
        <w:t>, es decir aquella más favorable a la ampliación y vigencia de derecho; es así que bajo este criterio, la actividad de limitar el derecho a un recurso ágil y eficiente para tutelar derechos constitucionales primordiales para la vida digna del ser humano es algo esencial, que no puede ser menoscabado, limitado o privado de su ejercicio, por un requisito de temporalidad que no se encuentra precisado en la ley, y menos acorde al sentido de la norma constitucional.</w:t>
      </w:r>
    </w:p>
    <w:p w:rsidR="00707315" w:rsidRPr="00707315" w:rsidRDefault="00707315" w:rsidP="00707315">
      <w:pPr>
        <w:spacing w:after="0" w:line="360" w:lineRule="auto"/>
        <w:jc w:val="both"/>
        <w:rPr>
          <w:rFonts w:ascii="Times New Roman" w:hAnsi="Times New Roman"/>
          <w:sz w:val="24"/>
          <w:szCs w:val="24"/>
          <w:lang w:val="es-ES"/>
        </w:rPr>
      </w:pPr>
      <w:r w:rsidRPr="00707315">
        <w:rPr>
          <w:rFonts w:ascii="Times New Roman" w:hAnsi="Times New Roman"/>
          <w:color w:val="000000"/>
          <w:sz w:val="24"/>
          <w:szCs w:val="24"/>
          <w:lang w:val="es-ES"/>
        </w:rPr>
        <w:t>El rebasamiento de la dimensión de mera legalidad se produce cuando se han vulnerado derechos, directamente por un acto u omisión de autoridad pública no judicial; el análisis es prolijo, sin embargo, son impugnables por vía judicial si se cumple con la verificación de efectiva vulneración de derechos constitucionales, conforme la Sentencia N.° 151-14-SEP-CC CASO N.° 0119-12-EP.</w:t>
      </w:r>
      <w:r w:rsidRPr="00707315">
        <w:rPr>
          <w:rFonts w:ascii="Times New Roman" w:hAnsi="Times New Roman"/>
          <w:sz w:val="24"/>
          <w:szCs w:val="24"/>
          <w:lang w:val="es-ES"/>
        </w:rPr>
        <w:t xml:space="preserve"> </w:t>
      </w:r>
      <w:r w:rsidRPr="00707315">
        <w:rPr>
          <w:rFonts w:ascii="Times New Roman" w:hAnsi="Times New Roman"/>
          <w:noProof/>
          <w:color w:val="000000"/>
          <w:sz w:val="24"/>
          <w:szCs w:val="24"/>
          <w:lang w:val="es-ES"/>
        </w:rPr>
        <w:t>(CCE-EP-151-14 SEP-CC, 2014)</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La CC se ha pronunciado sobre la obligación del juez constitucional de determinar la existencia o inexistencia en sus sentencias del derecho o derechos constitucionales vulnerados, y cuando éste desee verificar el cumplimiento de requisitos de admisibilidad y procedibilidad de la acción constitucional, deberá regirse solamente a aquellos previstos en la LOGJCC. Así como tampoco puede limitarse a inadmitir una acción sin determinar motivadamente la inexistencia del derecho o derechos constitucionales presuntamente vulnerados descritos en la acción, aspectos que también han sido resaltados en Sentencia de Corte Constitucional N.° 001-16-PJO-CC, CASO N.° 0530-10-JP. </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Efectuando un breve análisis desde la legislación comparada en los países limítrofes con Ecuador, comenzaremos con Perú que tiene precisado en su Código Procesal Constitucional Ley 28237, el plazo de interposición de la demanda en el proceso de amparo se encuentra regulado en el artículo 44 y es de 60 días contados desde los supuestos mencionados en el artículo.</w:t>
      </w:r>
      <w:r w:rsidRPr="00707315">
        <w:rPr>
          <w:rFonts w:ascii="Times New Roman" w:hAnsi="Times New Roman"/>
          <w:noProof/>
          <w:color w:val="000000"/>
          <w:sz w:val="24"/>
          <w:szCs w:val="24"/>
          <w:lang w:val="es-ES"/>
        </w:rPr>
        <w:t xml:space="preserve"> (Código Procesal Constitucional, 2004)</w:t>
      </w:r>
      <w:r w:rsidRPr="00707315">
        <w:rPr>
          <w:rFonts w:ascii="Times New Roman" w:hAnsi="Times New Roman"/>
          <w:color w:val="000000"/>
          <w:sz w:val="24"/>
          <w:szCs w:val="24"/>
          <w:lang w:val="es-ES"/>
        </w:rPr>
        <w:t xml:space="preserve"> </w:t>
      </w:r>
    </w:p>
    <w:p w:rsidR="0078788B" w:rsidRPr="00707315" w:rsidRDefault="00707315" w:rsidP="00707315">
      <w:pPr>
        <w:spacing w:after="0" w:line="360" w:lineRule="auto"/>
        <w:jc w:val="both"/>
        <w:rPr>
          <w:rFonts w:ascii="Times New Roman" w:hAnsi="Times New Roman"/>
          <w:noProof/>
          <w:color w:val="000000"/>
          <w:sz w:val="24"/>
          <w:szCs w:val="24"/>
          <w:lang w:val="es-ES"/>
        </w:rPr>
      </w:pPr>
      <w:r w:rsidRPr="00707315">
        <w:rPr>
          <w:rFonts w:ascii="Times New Roman" w:hAnsi="Times New Roman"/>
          <w:color w:val="000000"/>
          <w:sz w:val="24"/>
          <w:szCs w:val="24"/>
          <w:lang w:val="es-ES"/>
        </w:rPr>
        <w:t xml:space="preserve">En nuestro vecino país Colombia similar situación sucede, pues, respecto a la temporalidad de la acción de protección esta ha sido resuelta empleando jurisprudencia en </w:t>
      </w:r>
      <w:r w:rsidRPr="00707315">
        <w:rPr>
          <w:rFonts w:ascii="Times New Roman" w:hAnsi="Times New Roman"/>
          <w:bCs/>
          <w:color w:val="000000"/>
          <w:sz w:val="24"/>
          <w:szCs w:val="24"/>
          <w:shd w:val="clear" w:color="auto" w:fill="FFFFFF"/>
          <w:lang w:val="es-ES_tradnl"/>
        </w:rPr>
        <w:t>Sentencia SU108/18, donde se consolida la inmediatez y el plazo razonable como fundamento para iniciar la acción de tutela como así la conocen, coincidentemente al igual que Perú contempla interrupciones por caso fortuito y fuerza mayor, incapacidad física, hecho nuevo, entre otras.</w:t>
      </w:r>
      <w:r w:rsidRPr="00707315">
        <w:rPr>
          <w:rFonts w:ascii="Times New Roman" w:hAnsi="Times New Roman"/>
          <w:noProof/>
          <w:color w:val="000000"/>
          <w:sz w:val="24"/>
          <w:szCs w:val="24"/>
          <w:lang w:val="es-ES"/>
        </w:rPr>
        <w:t xml:space="preserve"> (SU108/18, 2018)</w:t>
      </w: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Naturaleza de la garantía jurisdiccional: acción de protección. -</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La acción de protección es un mecanismo legal, mediante el cual se podrán proteger, reparar, o cesar vulneraciones de derechos establecidos en la CRE. El fundamento convencional de esta acción a nivel internacional se encuentra estipulada en el art. 25 de la Convención Americana de Derechos Humanos, en lo concerniente a protección judicial, en su primer numeral garantiza el acceso a un recurso eficiente y sencillo frente a la vulneración de derechos humanos constitucional y convencionalmente reconocidos, incluso dicha protección se extiende a actos de funcionarios oficiales. En lo concerniente al numeral dos se incluye tres compromisos de los Estados suscriptores, el primero es la garantía de resolver recursos interpuestos en relación a los derechos humanos y constitucionales, el segundo literal implica desarrollar un recurso judicial para precautelar y aplicación de derechos, y finalmente, el último literal prevé la garantía de que la decisión adoptada sea cumplida.</w:t>
      </w:r>
    </w:p>
    <w:p w:rsidR="0078788B"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Dentro del ordenamiento jurídico ecuatoriano no existe la temporalidad como requisito previsto para la presentación de la acción de protección; esto, en vez de constituirse este requisito como una innovación en la ley, su ausencia ofrece una ampliación de derechos. Es así, que imponer un término, sería desnaturalizar la esencia misma de la acción de protección, así como también limitar el ejercicio de nuestros derechos, conforme el art. 11 numeral 6 de la CRE.</w:t>
      </w: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Principios intervinientes.-</w:t>
      </w:r>
    </w:p>
    <w:p w:rsidR="0078788B"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 xml:space="preserve">En el Derecho Constitucional existen principios generales y específicos para cada acción; en el presente artículo abarcaremos aquellos con los cuales guarde relación directa la acción de protección: </w:t>
      </w:r>
    </w:p>
    <w:p w:rsidR="0078788B" w:rsidRDefault="0078788B" w:rsidP="00707315">
      <w:pPr>
        <w:spacing w:after="0" w:line="360" w:lineRule="auto"/>
        <w:jc w:val="both"/>
        <w:rPr>
          <w:rFonts w:ascii="Times New Roman" w:eastAsia="Times New Roman" w:hAnsi="Times New Roman"/>
          <w:color w:val="000000"/>
          <w:sz w:val="24"/>
          <w:szCs w:val="24"/>
          <w:lang w:val="es-ES" w:eastAsia="es-ES"/>
        </w:rPr>
      </w:pPr>
    </w:p>
    <w:p w:rsidR="0078788B" w:rsidRDefault="0078788B" w:rsidP="00707315">
      <w:pPr>
        <w:spacing w:after="0" w:line="360" w:lineRule="auto"/>
        <w:jc w:val="both"/>
        <w:rPr>
          <w:rFonts w:ascii="Times New Roman" w:eastAsia="Times New Roman" w:hAnsi="Times New Roman"/>
          <w:color w:val="000000"/>
          <w:sz w:val="24"/>
          <w:szCs w:val="24"/>
          <w:lang w:val="es-ES" w:eastAsia="es-ES"/>
        </w:rPr>
      </w:pPr>
    </w:p>
    <w:p w:rsidR="0078788B" w:rsidRPr="00707315" w:rsidRDefault="0078788B" w:rsidP="00707315">
      <w:pPr>
        <w:spacing w:after="0" w:line="360" w:lineRule="auto"/>
        <w:jc w:val="both"/>
        <w:rPr>
          <w:rFonts w:ascii="Times New Roman" w:eastAsia="Times New Roman" w:hAnsi="Times New Roman"/>
          <w:color w:val="000000"/>
          <w:sz w:val="24"/>
          <w:szCs w:val="24"/>
          <w:lang w:val="es-ES" w:eastAsia="es-ES"/>
        </w:rPr>
      </w:pP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 xml:space="preserve">Plazo razonable </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Esta característica temporal en materia constitucional y procesal, consiste en que una persona dentro de un proceso sea juzgada dentro de un término razonable, esto es dentro de los límites temporales establecidos como prudentes.</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hAnsi="Times New Roman"/>
          <w:color w:val="000000"/>
          <w:sz w:val="24"/>
          <w:szCs w:val="24"/>
          <w:lang w:val="es-ES"/>
        </w:rPr>
        <w:t>Con respecto al plazo razonable, y parafraseando a los autores Bolañoz Salazar y Ugáz Marquina, se puede manifestar que el plazo razonable significa que los administrados no deberán mantenerse en ascuas indeterminadamente por los entes administradores de justicia; sin embargo los mencionados administradores de justicia no deberán actuar con mediocridad ni impulsivamente, sino que deberán analizar cada caso en concreto con detenimiento y en virtud de los derechos y principios presentes en la legislación ecuatoriana; solamente cuando esto suceda, se deberá emitir un fallo.</w:t>
      </w:r>
      <w:r w:rsidRPr="00707315">
        <w:rPr>
          <w:rFonts w:ascii="Times New Roman" w:hAnsi="Times New Roman"/>
          <w:noProof/>
          <w:color w:val="000000"/>
          <w:sz w:val="24"/>
          <w:szCs w:val="24"/>
        </w:rPr>
        <w:t xml:space="preserve"> (Bolañoz Salazar &amp; Ugáz Marquina, 2016, pág. 92)</w:t>
      </w:r>
      <w:r w:rsidRPr="00707315">
        <w:rPr>
          <w:rFonts w:ascii="Times New Roman" w:hAnsi="Times New Roman"/>
          <w:color w:val="000000"/>
          <w:sz w:val="24"/>
          <w:szCs w:val="24"/>
          <w:lang w:val="es-ES"/>
        </w:rPr>
        <w:t xml:space="preserve"> </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Acotando a lo expuesto anteriormente por los autores, el plazo razonable obedece a estándares de acceso a la justicia con la debida celeridad y eficiencia, de tal forma que su demora no lesione mayores derechos a la víctima o constituya una pena anticipada al procesado.</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 xml:space="preserve">Conforme a lo antes citado entre las garantías del debido proceso se encuentra reconocido el plazo razonable como consustancial para un acceso efectivo a la justicia. </w:t>
      </w:r>
      <w:r w:rsidRPr="00707315">
        <w:rPr>
          <w:rFonts w:ascii="Times New Roman" w:hAnsi="Times New Roman"/>
          <w:color w:val="000000"/>
          <w:sz w:val="24"/>
          <w:szCs w:val="24"/>
          <w:lang w:val="es-ES"/>
        </w:rPr>
        <w:t>El plazo razonable respecto de derechos humanos, hace referencia al acceso a una justicia expedita y eficiente y sus requisitos se encuentran regulados, tanto por la fuente jurisprudencial de la Corte Interamericana de Derechos Humanos (desde ahora CIDH), así como por tratados internacionales, tales como el Art. 7, núm. 5 de la Convención Americana sobre Derechos Humanos, que medularmente plasma que cuando una persona sea apresada deberá ser juzgada por un administrador de justicia en un plazo razonable, para que ésta cumpla con una responsabilidad penal, o en su defecto recupere su libertad, sin perjuicio de la utilización de cualquier tipo de medida cautelar para asegurar su posterior comparecencia a audiencias.</w:t>
      </w:r>
      <w:r w:rsidRPr="00707315">
        <w:rPr>
          <w:rFonts w:ascii="Times New Roman" w:hAnsi="Times New Roman"/>
          <w:noProof/>
          <w:color w:val="000000"/>
          <w:sz w:val="24"/>
          <w:szCs w:val="24"/>
          <w:lang w:val="es-ES"/>
        </w:rPr>
        <w:t xml:space="preserve"> (CADH, 1969)</w:t>
      </w:r>
      <w:r w:rsidRPr="00707315">
        <w:rPr>
          <w:rFonts w:ascii="Times New Roman" w:hAnsi="Times New Roman"/>
          <w:i/>
          <w:color w:val="000000"/>
          <w:sz w:val="24"/>
          <w:szCs w:val="24"/>
          <w:lang w:val="es-ES"/>
        </w:rPr>
        <w:t>.</w:t>
      </w:r>
      <w:r w:rsidRPr="00707315">
        <w:rPr>
          <w:rFonts w:ascii="Times New Roman" w:eastAsia="Times New Roman" w:hAnsi="Times New Roman"/>
          <w:color w:val="000000"/>
          <w:sz w:val="24"/>
          <w:szCs w:val="24"/>
          <w:lang w:val="es-ES" w:eastAsia="es-ES"/>
        </w:rPr>
        <w:t xml:space="preserve"> </w:t>
      </w:r>
      <w:r w:rsidRPr="00707315">
        <w:rPr>
          <w:rFonts w:ascii="Times New Roman" w:hAnsi="Times New Roman"/>
          <w:color w:val="000000"/>
          <w:sz w:val="24"/>
          <w:szCs w:val="24"/>
          <w:lang w:val="es-ES"/>
        </w:rPr>
        <w:t>Una disposición análoga se tipifica en el art. 9 núm. 3) del</w:t>
      </w:r>
      <w:r w:rsidRPr="00707315">
        <w:rPr>
          <w:rFonts w:ascii="Times New Roman" w:hAnsi="Times New Roman"/>
          <w:i/>
          <w:color w:val="000000"/>
          <w:sz w:val="24"/>
          <w:szCs w:val="24"/>
          <w:lang w:val="es-ES"/>
        </w:rPr>
        <w:t xml:space="preserve"> </w:t>
      </w:r>
      <w:r w:rsidRPr="00707315">
        <w:rPr>
          <w:rFonts w:ascii="Times New Roman" w:hAnsi="Times New Roman"/>
          <w:color w:val="000000"/>
          <w:sz w:val="24"/>
          <w:szCs w:val="24"/>
          <w:lang w:val="es-ES"/>
        </w:rPr>
        <w:t>Pacto Internacional de Derechos Civiles y Políticos.</w:t>
      </w:r>
      <w:r w:rsidRPr="00707315">
        <w:rPr>
          <w:rFonts w:ascii="Times New Roman" w:hAnsi="Times New Roman"/>
          <w:i/>
          <w:noProof/>
          <w:color w:val="000000"/>
          <w:sz w:val="24"/>
          <w:szCs w:val="24"/>
          <w:lang w:val="es-ES"/>
        </w:rPr>
        <w:t xml:space="preserve"> </w:t>
      </w:r>
      <w:r w:rsidRPr="00707315">
        <w:rPr>
          <w:rFonts w:ascii="Times New Roman" w:hAnsi="Times New Roman"/>
          <w:noProof/>
          <w:color w:val="000000"/>
          <w:sz w:val="24"/>
          <w:szCs w:val="24"/>
          <w:lang w:val="es-ES"/>
        </w:rPr>
        <w:t>(PIDCP, 1966)</w:t>
      </w: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Inmediatez</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El principio de inmediatez es un principio constitucional aplicable históricamente a las medidas cautelares e implica la disposición judicial de aplicación sumamente expedita (inmediatamente después de recibida la petición) de estas medidas para salvaguardar el derecho vulnerado, conforme lo prevé el art. 29 de la LOGJCC.</w:t>
      </w:r>
      <w:r w:rsidRPr="00707315">
        <w:rPr>
          <w:rFonts w:ascii="Times New Roman" w:hAnsi="Times New Roman"/>
          <w:noProof/>
          <w:color w:val="000000"/>
          <w:sz w:val="24"/>
          <w:szCs w:val="24"/>
          <w:lang w:val="es-ES"/>
        </w:rPr>
        <w:t xml:space="preserve"> (LOGJCC, 2009)</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Según la jurista Luisa Cano Blandón, definir el alcance del principio de inmediatez cobra especial trascendencia, ya que la inmediatez ha surgido como una barrera que utilizan los jueces para negar el tutelaje de derechos de personas a quienes se les han afectado derechos y que ejercen el derecho a la acción, por medio de acciones de protección.</w:t>
      </w:r>
      <w:r w:rsidRPr="00707315">
        <w:rPr>
          <w:rFonts w:ascii="Times New Roman" w:hAnsi="Times New Roman"/>
          <w:noProof/>
          <w:color w:val="000000"/>
          <w:sz w:val="24"/>
          <w:szCs w:val="24"/>
        </w:rPr>
        <w:t xml:space="preserve"> (Cano-Blandón, 2017, pág. 125)</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El criterio usual de las cortes provinciales y juzgados es escudarse en el principio de inmediatez, lo cual es erróneo pues este principio es exclusivo de las medidas cautelares y no aplicables a la acción de protección, pues ésta lo que busca es no dejar en la impunidad las vulneraciones de derechos constitucionales, solo por el argumento del decurso del tiempo. </w:t>
      </w: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Iura novit curiae.-</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eastAsia="Times New Roman" w:hAnsi="Times New Roman"/>
          <w:color w:val="000000"/>
          <w:sz w:val="24"/>
          <w:szCs w:val="24"/>
          <w:lang w:val="es-ES" w:eastAsia="es-ES"/>
        </w:rPr>
        <w:t xml:space="preserve">La locución en latín </w:t>
      </w:r>
      <w:r w:rsidRPr="00707315">
        <w:rPr>
          <w:rFonts w:ascii="Times New Roman" w:eastAsia="Times New Roman" w:hAnsi="Times New Roman"/>
          <w:i/>
          <w:color w:val="000000"/>
          <w:sz w:val="24"/>
          <w:szCs w:val="24"/>
          <w:lang w:val="es-ES" w:eastAsia="es-ES"/>
        </w:rPr>
        <w:t>Iura novit curiae</w:t>
      </w:r>
      <w:r w:rsidRPr="00707315">
        <w:rPr>
          <w:rFonts w:ascii="Times New Roman" w:eastAsia="Times New Roman" w:hAnsi="Times New Roman"/>
          <w:color w:val="000000"/>
          <w:sz w:val="24"/>
          <w:szCs w:val="24"/>
          <w:lang w:val="es-ES" w:eastAsia="es-ES"/>
        </w:rPr>
        <w:t xml:space="preserve"> (el juez sabe de Derecho) obedece a una orden de tutela mayor para el juez constitucional, que lo faculta a corregir, subsanar las deficiencias de la demanda e incluso modificar los derechos vulnerados invocados en la acción, para garantizar un efectivo acceso a la justicia constitucional, conforme lo prevé el art. 4 núm. 13 de la LOGJCC</w:t>
      </w:r>
      <w:r w:rsidRPr="00707315">
        <w:rPr>
          <w:rFonts w:ascii="Times New Roman" w:hAnsi="Times New Roman"/>
          <w:color w:val="000000"/>
          <w:sz w:val="24"/>
          <w:szCs w:val="24"/>
          <w:lang w:val="es-ES"/>
        </w:rPr>
        <w:t>.</w:t>
      </w:r>
      <w:r w:rsidRPr="00707315">
        <w:rPr>
          <w:rFonts w:ascii="Times New Roman" w:hAnsi="Times New Roman"/>
          <w:noProof/>
          <w:color w:val="000000"/>
          <w:sz w:val="24"/>
          <w:szCs w:val="24"/>
          <w:lang w:val="es-ES"/>
        </w:rPr>
        <w:t xml:space="preserve"> (LOGJCC, 2009)</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Entonces se logra comprender, que el instrumento procesal en mención, le permite al juez aplicar la justicia sobre la omisión de formalidades, siempre y cuando sus resoluciones se encuentren dentro del principio de congruencia.</w:t>
      </w:r>
      <w:r w:rsidRPr="00707315">
        <w:rPr>
          <w:rFonts w:ascii="Times New Roman" w:hAnsi="Times New Roman"/>
          <w:noProof/>
          <w:color w:val="000000"/>
          <w:sz w:val="24"/>
          <w:szCs w:val="24"/>
        </w:rPr>
        <w:t xml:space="preserve"> (Castro Núñez, 2018, pág. 174)</w:t>
      </w:r>
    </w:p>
    <w:p w:rsidR="00707315" w:rsidRPr="00707315" w:rsidRDefault="00707315" w:rsidP="00707315">
      <w:pPr>
        <w:spacing w:after="0" w:line="360" w:lineRule="auto"/>
        <w:jc w:val="both"/>
        <w:rPr>
          <w:rFonts w:ascii="Times New Roman" w:eastAsia="Times New Roman" w:hAnsi="Times New Roman"/>
          <w:b/>
          <w:color w:val="000000"/>
          <w:sz w:val="24"/>
          <w:szCs w:val="24"/>
          <w:lang w:val="es-ES" w:eastAsia="es-ES"/>
        </w:rPr>
      </w:pPr>
      <w:r w:rsidRPr="00707315">
        <w:rPr>
          <w:rFonts w:ascii="Times New Roman" w:eastAsia="Times New Roman" w:hAnsi="Times New Roman"/>
          <w:b/>
          <w:color w:val="000000"/>
          <w:sz w:val="24"/>
          <w:szCs w:val="24"/>
          <w:lang w:val="es-ES" w:eastAsia="es-ES"/>
        </w:rPr>
        <w:t>Debido proceso y derecho a la defensa</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 xml:space="preserve">El debido proceso es el escenario donde idealmente se desenvuelve un proceso justo para las partes intervinientes, aspectos esenciales constituidos como principios, garantías reglas y derechos, como la presunción de inocencia, el </w:t>
      </w:r>
      <w:r w:rsidRPr="00707315">
        <w:rPr>
          <w:rFonts w:ascii="Times New Roman" w:eastAsia="Times New Roman" w:hAnsi="Times New Roman"/>
          <w:i/>
          <w:color w:val="000000"/>
          <w:sz w:val="24"/>
          <w:szCs w:val="24"/>
          <w:lang w:val="es-ES" w:eastAsia="es-ES"/>
        </w:rPr>
        <w:t>non bis in idem</w:t>
      </w:r>
      <w:r w:rsidRPr="00707315">
        <w:rPr>
          <w:rFonts w:ascii="Times New Roman" w:eastAsia="Times New Roman" w:hAnsi="Times New Roman"/>
          <w:color w:val="000000"/>
          <w:sz w:val="24"/>
          <w:szCs w:val="24"/>
          <w:lang w:val="es-ES" w:eastAsia="es-ES"/>
        </w:rPr>
        <w:t>, juez natural, la tutela judicial efectiva, el principio de reserva de ley, y primordialmente el derecho a la defensa.</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Parafraseando al Dr. Rafael Oyarte, el derecho a la defensa incluye a la contradicción en todas sus formas, presentación de pruebas, asistencia profesional, tiempo suficiente para la preparación de una defensa técnica de calidad, el doble conforme, entre otros. El derecho a la defensa deberá estar presente en toda especialidad, grado y procedimiento judicial.</w:t>
      </w:r>
      <w:r w:rsidRPr="00707315">
        <w:rPr>
          <w:rFonts w:ascii="Times New Roman" w:eastAsia="Times New Roman" w:hAnsi="Times New Roman"/>
          <w:noProof/>
          <w:color w:val="000000"/>
          <w:sz w:val="24"/>
          <w:szCs w:val="24"/>
          <w:lang w:val="es-ES" w:eastAsia="es-ES"/>
        </w:rPr>
        <w:t xml:space="preserve"> (Oyarte, 2016, pág. 361)</w:t>
      </w:r>
    </w:p>
    <w:p w:rsidR="00707315" w:rsidRPr="00707315" w:rsidRDefault="00707315" w:rsidP="00707315">
      <w:pPr>
        <w:spacing w:after="0" w:line="360" w:lineRule="auto"/>
        <w:jc w:val="both"/>
        <w:rPr>
          <w:rFonts w:ascii="Times New Roman" w:eastAsia="Times New Roman" w:hAnsi="Times New Roman"/>
          <w:color w:val="000000"/>
          <w:sz w:val="24"/>
          <w:szCs w:val="24"/>
          <w:lang w:val="es-ES" w:eastAsia="es-ES"/>
        </w:rPr>
      </w:pPr>
      <w:r w:rsidRPr="00707315">
        <w:rPr>
          <w:rFonts w:ascii="Times New Roman" w:eastAsia="Times New Roman" w:hAnsi="Times New Roman"/>
          <w:color w:val="000000"/>
          <w:sz w:val="24"/>
          <w:szCs w:val="24"/>
          <w:lang w:val="es-ES" w:eastAsia="es-ES"/>
        </w:rPr>
        <w:t xml:space="preserve">Es prudente manifestar que dentro del debido proceso, tal vez una las garantías medulares es el derecho a la defensa, pues la multiplicidad de principios, derechos, reglas y garantías que lo integran son consustanciales en todo proceso y no solo se encuentran integrados por los ya enunciados en el párrafo anterior, sino que también guarda relación indirecta con otro como la prohibición de incriminación, el </w:t>
      </w:r>
      <w:r w:rsidRPr="00707315">
        <w:rPr>
          <w:rFonts w:ascii="Times New Roman" w:eastAsia="Times New Roman" w:hAnsi="Times New Roman"/>
          <w:i/>
          <w:color w:val="000000"/>
          <w:sz w:val="24"/>
          <w:szCs w:val="24"/>
          <w:lang w:val="es-ES" w:eastAsia="es-ES"/>
        </w:rPr>
        <w:t>non reformatio in pejus,</w:t>
      </w:r>
      <w:r w:rsidRPr="00707315">
        <w:rPr>
          <w:rFonts w:ascii="Times New Roman" w:eastAsia="Times New Roman" w:hAnsi="Times New Roman"/>
          <w:color w:val="000000"/>
          <w:sz w:val="24"/>
          <w:szCs w:val="24"/>
          <w:lang w:val="es-ES" w:eastAsia="es-ES"/>
        </w:rPr>
        <w:t xml:space="preserve"> Juez natural  y la prohibición del juzgamiento en ausencia reservado para ciertos delitos.</w:t>
      </w:r>
    </w:p>
    <w:p w:rsid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De igual manera, en la generalidad de casos cuando lo que se alude es la vulneración de derecho a la defensa por no haber recibido notificación en procesos sancionatorios o disciplinarios, en su mayoría no se enteran sino después de muchos años; esto impide que puedan recurrir por las vías ordinarias, y tengan que emplear la justicia constitucional para salvaguardar sus derechos y legítimos intereses, por lo que, exigirle al administrado un término cuando en la mayoría de vulneraciones a derechos constitucionales lo que se alude es la falta de notificación no imputable al ciudadano sino a la Administración, lo cual constituiría un obstáculo para velar por la justicia y tutelar sus derechos en forma adecuada.</w:t>
      </w:r>
    </w:p>
    <w:p w:rsidR="0078788B" w:rsidRPr="00707315" w:rsidRDefault="0078788B" w:rsidP="00707315">
      <w:pPr>
        <w:spacing w:after="0" w:line="360" w:lineRule="auto"/>
        <w:jc w:val="both"/>
        <w:rPr>
          <w:rFonts w:ascii="Times New Roman" w:hAnsi="Times New Roman"/>
          <w:color w:val="000000"/>
          <w:sz w:val="24"/>
          <w:szCs w:val="24"/>
          <w:lang w:val="es-ES"/>
        </w:rPr>
      </w:pPr>
    </w:p>
    <w:p w:rsidR="00707315" w:rsidRPr="00707315" w:rsidRDefault="00707315" w:rsidP="00707315">
      <w:pPr>
        <w:spacing w:after="0" w:line="360" w:lineRule="auto"/>
        <w:jc w:val="both"/>
        <w:rPr>
          <w:rFonts w:ascii="Times New Roman" w:hAnsi="Times New Roman"/>
          <w:b/>
          <w:bCs/>
          <w:color w:val="000000"/>
          <w:sz w:val="26"/>
          <w:szCs w:val="26"/>
          <w:lang w:val="es-ES"/>
        </w:rPr>
      </w:pPr>
      <w:r w:rsidRPr="00707315">
        <w:rPr>
          <w:rFonts w:ascii="Times New Roman" w:hAnsi="Times New Roman"/>
          <w:b/>
          <w:bCs/>
          <w:color w:val="000000"/>
          <w:sz w:val="26"/>
          <w:szCs w:val="26"/>
          <w:lang w:val="es-ES"/>
        </w:rPr>
        <w:t>Metodología</w:t>
      </w:r>
    </w:p>
    <w:p w:rsid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Los métodos empleados en el presente trabajo investigativo son el método analítico, histórico, los recursos empleados acorde a la temática del presente trabajo son doctrina, legislación nacional y comparada, jurisprudencia constitucional y comparada, los cuales permiten profundizar en el estudio del requisito de temporalidad en las acciones de protección desde la perspectiva dogmática y legal, nacional, internacional y comparada con países latinoamericanos.</w:t>
      </w:r>
    </w:p>
    <w:p w:rsidR="0078788B" w:rsidRPr="00707315" w:rsidRDefault="0078788B" w:rsidP="00707315">
      <w:pPr>
        <w:spacing w:after="0" w:line="360" w:lineRule="auto"/>
        <w:jc w:val="both"/>
        <w:rPr>
          <w:rFonts w:ascii="Times New Roman" w:hAnsi="Times New Roman"/>
          <w:color w:val="000000"/>
          <w:sz w:val="24"/>
          <w:szCs w:val="24"/>
          <w:lang w:val="es-ES"/>
        </w:rPr>
      </w:pPr>
    </w:p>
    <w:p w:rsidR="00707315" w:rsidRPr="00707315" w:rsidRDefault="00707315" w:rsidP="00707315">
      <w:pPr>
        <w:spacing w:after="0" w:line="360" w:lineRule="auto"/>
        <w:jc w:val="both"/>
        <w:rPr>
          <w:rFonts w:ascii="Times New Roman" w:hAnsi="Times New Roman"/>
          <w:b/>
          <w:bCs/>
          <w:color w:val="000000"/>
          <w:sz w:val="26"/>
          <w:szCs w:val="26"/>
          <w:lang w:val="es-ES"/>
        </w:rPr>
      </w:pPr>
      <w:r w:rsidRPr="00707315">
        <w:rPr>
          <w:rFonts w:ascii="Times New Roman" w:hAnsi="Times New Roman"/>
          <w:b/>
          <w:bCs/>
          <w:color w:val="000000"/>
          <w:sz w:val="26"/>
          <w:szCs w:val="26"/>
          <w:lang w:val="es-ES"/>
        </w:rPr>
        <w:t>Resultados y Discusión</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Como resultado del presente artículo se ha logrado obtener certeza del panorama jurídico nacional sobre la garantía de acción de protección, el cual al no prever expresamente en la ley un requisito de temporalidad busca restablecer el derecho constitucional vulnerado e indemnizar a la víctima con una reparación integral idónea frente a actos lesivos como garantía de no impunidad, y ejercicio legítimo de la justicia constitucional.</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A manera de discusión se puede ratificar la importancia de la acción investigada, en el Ecuador, y en todos los países de Sudamérica. Es así que, a pesar de la diferencia de legislaciones, la jurista y docente de la Universidad de Antioquia- Colombia, la Sra. Luisa Fernanda Cano Blandon en su obra manifiesta que la figura de la inmediatez en la interposición de la acción de protección, sin la especificación de un término que defina a la misma, debería ampliar derechos en vez de restringirlos; sin embargo al no establecerse un término en la fuente formal de la ley, muchos administradores de justicia han optado por excusarse con este argumento, generando un pronunciado obstáculo para la reclamación de derechos fundamentales.</w:t>
      </w:r>
      <w:r w:rsidRPr="00707315">
        <w:rPr>
          <w:rFonts w:ascii="Times New Roman" w:hAnsi="Times New Roman"/>
          <w:noProof/>
          <w:color w:val="000000"/>
          <w:sz w:val="24"/>
          <w:szCs w:val="24"/>
        </w:rPr>
        <w:t xml:space="preserve"> (Cano-Blandón, 2017)</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De igual forma, en el presente trabajo se ha estipulado que la figura de inmediatez, es aplicable respecto únicamente de las medidas cautelares, tal cual lo establece el artículo 29 de la LOGJCC; sin embargo, el administrador de justicia, durante muchos años ha interpretado de manera errónea el espíritu del legislador, asemejando esta inmediatez expresa de la aplicación de las medidas cautelares con una inmediatez inexistente para la presentación de la figura de acción de protección.</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Respecto a los principios que intervienen en la acción de protección, también se trajo a colación el derecho a la defensa; es decir cuando una persona a quien se le </w:t>
      </w:r>
      <w:r w:rsidR="0078788B" w:rsidRPr="00707315">
        <w:rPr>
          <w:rFonts w:ascii="Times New Roman" w:hAnsi="Times New Roman"/>
          <w:color w:val="000000"/>
          <w:sz w:val="24"/>
          <w:szCs w:val="24"/>
          <w:lang w:val="es-ES"/>
        </w:rPr>
        <w:t>ha</w:t>
      </w:r>
      <w:r w:rsidRPr="00707315">
        <w:rPr>
          <w:rFonts w:ascii="Times New Roman" w:hAnsi="Times New Roman"/>
          <w:color w:val="000000"/>
          <w:sz w:val="24"/>
          <w:szCs w:val="24"/>
          <w:lang w:val="es-ES"/>
        </w:rPr>
        <w:t xml:space="preserve"> vulnerado sus derechos fundamentales, presenta determinada acción judicial, a este no se le puede mantener en estado de indefensión. Es una vulneración expresa a la CRE, el hecho de preferir la legalidad por sobre la ampliación de derechos, recordando que según el artículo 169 de la carta magna ecuatoriana, donde se manifiesta que el hecho de omitir ciertas formalidades no sacrificará de ninguna forma la aplicación de la justicia. </w:t>
      </w:r>
      <w:r w:rsidRPr="00707315">
        <w:rPr>
          <w:rFonts w:ascii="Times New Roman" w:hAnsi="Times New Roman"/>
          <w:noProof/>
          <w:color w:val="000000"/>
          <w:sz w:val="24"/>
          <w:szCs w:val="24"/>
        </w:rPr>
        <w:t xml:space="preserve"> (CRE, 2008)</w:t>
      </w:r>
    </w:p>
    <w:p w:rsidR="00707315" w:rsidRDefault="00707315" w:rsidP="00707315">
      <w:pPr>
        <w:spacing w:after="0" w:line="360" w:lineRule="auto"/>
        <w:jc w:val="both"/>
        <w:rPr>
          <w:rFonts w:ascii="Times New Roman" w:hAnsi="Times New Roman"/>
          <w:noProof/>
          <w:color w:val="000000"/>
          <w:sz w:val="24"/>
          <w:szCs w:val="24"/>
        </w:rPr>
      </w:pPr>
      <w:r w:rsidRPr="00707315">
        <w:rPr>
          <w:rFonts w:ascii="Times New Roman" w:hAnsi="Times New Roman"/>
          <w:color w:val="000000"/>
          <w:sz w:val="24"/>
          <w:szCs w:val="24"/>
          <w:lang w:val="es-ES"/>
        </w:rPr>
        <w:t>La importancia del derecho a la defensa, también la plasma el Dr. Rafael Oyarte en su obra denominada “Debido Proceso” del año 2016, manifestando que el derecho a la defensa consta de varios subprincipios como ser escuchado en igualdad de condiciones y que la parte afectada pueda contar con el tiempo y medios para preparar la defensa, lo cual obviamente se contrasta con la temporalidad de la acción de protección, y apoya fehacientemente los argumentos expresado en la presente investigación.</w:t>
      </w:r>
      <w:r w:rsidRPr="00707315">
        <w:rPr>
          <w:rFonts w:ascii="Times New Roman" w:hAnsi="Times New Roman"/>
          <w:noProof/>
          <w:color w:val="000000"/>
          <w:sz w:val="24"/>
          <w:szCs w:val="24"/>
        </w:rPr>
        <w:t xml:space="preserve"> (Oyarte, 2016)</w:t>
      </w:r>
    </w:p>
    <w:p w:rsidR="0078788B" w:rsidRPr="00707315" w:rsidRDefault="0078788B" w:rsidP="00707315">
      <w:pPr>
        <w:spacing w:after="0" w:line="360" w:lineRule="auto"/>
        <w:jc w:val="both"/>
        <w:rPr>
          <w:rFonts w:ascii="Times New Roman" w:hAnsi="Times New Roman"/>
          <w:color w:val="000000"/>
          <w:sz w:val="24"/>
          <w:szCs w:val="24"/>
          <w:lang w:val="es-ES"/>
        </w:rPr>
      </w:pPr>
    </w:p>
    <w:p w:rsidR="00707315" w:rsidRPr="00707315" w:rsidRDefault="0078788B" w:rsidP="00707315">
      <w:pPr>
        <w:spacing w:after="0" w:line="360" w:lineRule="auto"/>
        <w:jc w:val="both"/>
        <w:rPr>
          <w:rFonts w:ascii="Times New Roman" w:hAnsi="Times New Roman"/>
          <w:b/>
          <w:color w:val="000000"/>
          <w:sz w:val="26"/>
          <w:szCs w:val="26"/>
          <w:lang w:val="es-ES"/>
        </w:rPr>
      </w:pPr>
      <w:r w:rsidRPr="0078788B">
        <w:rPr>
          <w:rFonts w:ascii="Times New Roman" w:hAnsi="Times New Roman"/>
          <w:b/>
          <w:color w:val="000000"/>
          <w:sz w:val="26"/>
          <w:szCs w:val="26"/>
          <w:lang w:val="es-ES"/>
        </w:rPr>
        <w:t>Conclusiones</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Habiendo efectuando un análisis respecto a la temporalidad de la acción que fue lo que motivó este artículo desde el estudio de la legislación, la jurisprudencia a lo largo de nuestra historia, así como legislación comparada, se han llegado a las siguientes conclusiones:</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Limitar la acción de protección a un término en el Ecuador no sólo va en contra de la naturaleza de los derechos constitucionales, sino que también vulnera la seguridad jurídica al exigir a la accionante un término no previsto en la normativa interna o en la jurisprudencia vigente, puesto que la naturaleza de la acción de protección no permite extenderse a otros requisitos no previstos en la CRE o en la LOGJCC.</w:t>
      </w:r>
    </w:p>
    <w:p w:rsidR="00707315" w:rsidRPr="00707315" w:rsidRDefault="00707315" w:rsidP="00707315">
      <w:pPr>
        <w:spacing w:after="0" w:line="360" w:lineRule="auto"/>
        <w:jc w:val="both"/>
        <w:rPr>
          <w:rFonts w:ascii="Times New Roman" w:hAnsi="Times New Roman"/>
          <w:sz w:val="24"/>
          <w:szCs w:val="24"/>
          <w:lang w:val="es-ES"/>
        </w:rPr>
      </w:pPr>
      <w:r w:rsidRPr="00707315">
        <w:rPr>
          <w:rFonts w:ascii="Times New Roman" w:hAnsi="Times New Roman"/>
          <w:sz w:val="24"/>
          <w:szCs w:val="24"/>
          <w:lang w:val="es-ES"/>
        </w:rPr>
        <w:t>Exigir requisitos de inmediatez y plazo razonable entre la acción u omisión dañosa y la presentación de la acción de protección constituye una barrera que tiende a encubrir la violación del derecho al impedir reclamar por la vía constitucional so pretexto de un requisito no contemplado en la Constitución, la ley o la jurisprudencia vigente.</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 xml:space="preserve">Disponer en sentencia que la a acción de protección en el Ecuador caduca o prescribe es inconstitucional, las actuaciones llevadas a inadmitir o negar la procedencia de la acción por el transcurso del tiempo o la demora en la presentación ante un requisito inexistente contraría los principios y derechos constitucionales legalmente establecidos. </w:t>
      </w:r>
    </w:p>
    <w:p w:rsidR="00707315" w:rsidRPr="00707315" w:rsidRDefault="00707315" w:rsidP="00707315">
      <w:pPr>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El principio de inmediatez no es aplicable sino únicamente para medidas cautelares, mas no para acciones de protección al menos en el Ecuador, pues considerar una actuación inmediata para acudir a la justicia constitucional a través de la acción de protección atenta contra la seguridad jurídica, pues si la inmediatez en la presentación de la acción de protección se constituyera como requisito que no es el caso en el Ecuador, se debería establecer de igual manera circunstancias excepcionales que hayan impedido la presentación oportuna de la acción tales como imposibilidad física, fuerza mayor, caso fortuito, para la presentación tardía, factores no determinados en nuestra legislación, pero si en la legislación peruana  en forma expresa y vastamente en la jurisprudencia Colombiana.</w:t>
      </w:r>
    </w:p>
    <w:p w:rsidR="00707315" w:rsidRPr="00707315" w:rsidRDefault="00707315" w:rsidP="0078788B">
      <w:pPr>
        <w:autoSpaceDE w:val="0"/>
        <w:autoSpaceDN w:val="0"/>
        <w:adjustRightInd w:val="0"/>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Finalmente, cuando nos referimos a la acción de protección, a día de hoy, seguimos cuestionando su eficacia y aplicación, donde se hace difícil determinar si existe un abuso o no de la misma por parte de los accionantes, si bien se ha hablado mucho sobre el análisis teórico y legal de la institución, sin embargo, la práctica conlleva a que los que estamos involucrados en el mundo del derecho, nos cuestionemos si la acción de protección es el primer camino que debemos elegir con el fin de lograr una auténtica eficacia de nuestro ordenamiento jurídico y consecuentemente una efectiva tutela de los derechos de las y los ciudadanos, en el ámbito constitucional</w:t>
      </w:r>
    </w:p>
    <w:p w:rsidR="00707315" w:rsidRPr="00707315" w:rsidRDefault="00707315" w:rsidP="00707315">
      <w:pPr>
        <w:tabs>
          <w:tab w:val="left" w:pos="1875"/>
        </w:tabs>
        <w:autoSpaceDE w:val="0"/>
        <w:autoSpaceDN w:val="0"/>
        <w:adjustRightInd w:val="0"/>
        <w:spacing w:after="0" w:line="360" w:lineRule="auto"/>
        <w:jc w:val="both"/>
        <w:rPr>
          <w:rFonts w:ascii="Times New Roman" w:hAnsi="Times New Roman"/>
          <w:color w:val="000000"/>
          <w:sz w:val="24"/>
          <w:szCs w:val="24"/>
          <w:lang w:val="es-ES"/>
        </w:rPr>
      </w:pPr>
      <w:r w:rsidRPr="00707315">
        <w:rPr>
          <w:rFonts w:ascii="Times New Roman" w:hAnsi="Times New Roman"/>
          <w:color w:val="000000"/>
          <w:sz w:val="24"/>
          <w:szCs w:val="24"/>
          <w:lang w:val="es-ES"/>
        </w:rPr>
        <w:t>Las diferentes decisiones emitidas por parte de los administradores de justicia, así como la constante recurrencia de los profesionales del derecho, ha llevado a que nos cuestionemos si la aplicación de la acción de protección es una garantía no abusada en el Ecuador, o si recurrimos a ella cuando hay una evidente vulneración de un derecho constitucional,  donde es necesario mencionar  que no sólo se trata del papel o rol de la administración de justicia, sino también de los profesionales del derecho.</w:t>
      </w:r>
    </w:p>
    <w:p w:rsidR="00707315" w:rsidRPr="00707315" w:rsidRDefault="00707315" w:rsidP="00707315">
      <w:pPr>
        <w:spacing w:after="0" w:line="360" w:lineRule="auto"/>
        <w:jc w:val="both"/>
        <w:rPr>
          <w:rFonts w:ascii="Times New Roman" w:hAnsi="Times New Roman"/>
          <w:color w:val="000000"/>
          <w:sz w:val="24"/>
          <w:szCs w:val="24"/>
          <w:lang w:val="es-ES"/>
        </w:rPr>
      </w:pPr>
    </w:p>
    <w:p w:rsidR="00707315" w:rsidRPr="00707315" w:rsidRDefault="00707315" w:rsidP="00707315">
      <w:pPr>
        <w:spacing w:after="0" w:line="360" w:lineRule="auto"/>
        <w:jc w:val="both"/>
        <w:rPr>
          <w:rFonts w:ascii="Times New Roman" w:hAnsi="Times New Roman"/>
          <w:b/>
          <w:color w:val="000000"/>
          <w:sz w:val="26"/>
          <w:szCs w:val="26"/>
          <w:lang w:val="es-ES"/>
        </w:rPr>
      </w:pPr>
      <w:r w:rsidRPr="00707315">
        <w:rPr>
          <w:rFonts w:ascii="Times New Roman" w:hAnsi="Times New Roman"/>
          <w:b/>
          <w:color w:val="000000"/>
          <w:sz w:val="26"/>
          <w:szCs w:val="26"/>
          <w:lang w:val="es-ES"/>
        </w:rPr>
        <w:t xml:space="preserve">Referencias </w:t>
      </w:r>
    </w:p>
    <w:p w:rsidR="0078788B" w:rsidRPr="00707315" w:rsidRDefault="0078788B" w:rsidP="0078788B">
      <w:pPr>
        <w:numPr>
          <w:ilvl w:val="0"/>
          <w:numId w:val="9"/>
        </w:numPr>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0380-10-EP, CASO N° </w:t>
      </w:r>
      <w:r w:rsidRPr="00707315">
        <w:rPr>
          <w:rFonts w:ascii="Times New Roman" w:hAnsi="Times New Roman"/>
          <w:sz w:val="24"/>
          <w:szCs w:val="24"/>
          <w:lang w:val="es-ES"/>
        </w:rPr>
        <w:t>0380-10-EP,</w:t>
      </w:r>
      <w:r>
        <w:rPr>
          <w:rFonts w:ascii="Times New Roman" w:hAnsi="Times New Roman"/>
          <w:sz w:val="24"/>
          <w:szCs w:val="24"/>
          <w:lang w:val="es-ES"/>
        </w:rPr>
        <w:t xml:space="preserve"> </w:t>
      </w:r>
      <w:r w:rsidRPr="00707315">
        <w:rPr>
          <w:rFonts w:ascii="Times New Roman" w:hAnsi="Times New Roman"/>
          <w:sz w:val="24"/>
          <w:szCs w:val="24"/>
          <w:lang w:val="es-ES"/>
        </w:rPr>
        <w:t>Sentencia N°102-13-SEP-CC (Doctores Patricio Herrera Betancourt, Alfonso Luz Yunes y Manuel Viteri Olvera 04 de 12 de 2013). Recuperado el 05 de junio de 2020, de http://portal.corteconstitucional.gob.ec:8494/FichaRelatoria.aspx?numdocumento=102-13-SEP-CC</w:t>
      </w:r>
    </w:p>
    <w:p w:rsidR="0078788B" w:rsidRPr="00707315" w:rsidRDefault="0078788B" w:rsidP="0078788B">
      <w:pPr>
        <w:numPr>
          <w:ilvl w:val="0"/>
          <w:numId w:val="9"/>
        </w:numPr>
        <w:spacing w:after="0" w:line="360" w:lineRule="auto"/>
        <w:jc w:val="both"/>
        <w:rPr>
          <w:rFonts w:ascii="Times New Roman" w:hAnsi="Times New Roman"/>
          <w:sz w:val="24"/>
          <w:szCs w:val="24"/>
          <w:lang w:val="es-ES"/>
        </w:rPr>
      </w:pPr>
      <w:r w:rsidRPr="00707315">
        <w:rPr>
          <w:rFonts w:ascii="Times New Roman" w:hAnsi="Times New Roman"/>
          <w:sz w:val="24"/>
          <w:szCs w:val="24"/>
          <w:lang w:val="es-ES"/>
        </w:rPr>
        <w:t>0530-10-JP, CASO N° 0530-10-JP, Sentencia N° 001-16-P.JO-CC (Doctores Edgar Zárate Zárate, Roberto Bhrunis Lemarie y Ruth Seni Pinoargote 22 de 03 de 2016). Recuperado el 05 de junio de 2020, de:http://doc0.corteconstitucional.gob.ec:8080/alfresco/d/d/workspace/SpacesStore/71a7f53a-d379-4fc4-89ef-764ff71808aa/0530-10-JP-sen.pdf?guest=true</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1754-13-EP, CASO No. 1754-13-EP, Sentencia No. 1754-13-EP/19 (Karla Andrade Quevedo, Carmen Corral Ponce y Agustín Grijalva Jiménez 19 de Noviembre de 2019). Recuperado el 25 de Mayo de 2020, de http://doc.corteconstitucional.gob.ec:8080/alfresco/d/d/workspace/SpacesStore/3c0b4415-7ba1-4629-9479-6875c040c2cf/1754-13-ep-19.pdf?guest=true</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 xml:space="preserve">Bolañoz Salazar, E. R., &amp; Ugáz Marquina, R. S. (Agosto de 2016). El plazo razonable como garantía del debido proceso: análisis comparativo de los estándares actuales en el Sistema Interamericano y en el TC peruano.Gaceta Constitucional. </w:t>
      </w:r>
      <w:r w:rsidRPr="00707315">
        <w:rPr>
          <w:rFonts w:ascii="Times New Roman" w:hAnsi="Times New Roman"/>
          <w:i/>
          <w:iCs/>
          <w:noProof/>
          <w:sz w:val="24"/>
          <w:szCs w:val="24"/>
          <w:lang w:val="es-ES"/>
        </w:rPr>
        <w:t>Gaceta Constitucional: Análisis y Crítica, 104</w:t>
      </w:r>
      <w:r w:rsidRPr="00707315">
        <w:rPr>
          <w:rFonts w:ascii="Times New Roman" w:hAnsi="Times New Roman"/>
          <w:noProof/>
          <w:sz w:val="24"/>
          <w:szCs w:val="24"/>
          <w:lang w:val="es-ES"/>
        </w:rPr>
        <w:t>, 92. Obtenido de https://www.academia.edu/27626755/El_plazo_razonable_como_garant%C3%ADa_del_debido_proceso_an%C3%A1lisis_comparativo_de_los_est%C3%A1ndares_actuales_en_el_Sistema_Interamericano_y_en_el_TC_peruano</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 xml:space="preserve">Cano-Blandón, L. F. (1 de Junio de 2017). El principio de inmediatez de la acción de tutela. ¿Una barrera para la protección judicial de los derechos fundamentales? </w:t>
      </w:r>
      <w:r w:rsidRPr="00707315">
        <w:rPr>
          <w:rFonts w:ascii="Times New Roman" w:hAnsi="Times New Roman"/>
          <w:i/>
          <w:iCs/>
          <w:noProof/>
          <w:sz w:val="24"/>
          <w:szCs w:val="24"/>
          <w:lang w:val="es-ES"/>
        </w:rPr>
        <w:t>Entramado, 13</w:t>
      </w:r>
      <w:r w:rsidRPr="00707315">
        <w:rPr>
          <w:rFonts w:ascii="Times New Roman" w:hAnsi="Times New Roman"/>
          <w:noProof/>
          <w:sz w:val="24"/>
          <w:szCs w:val="24"/>
          <w:lang w:val="es-ES"/>
        </w:rPr>
        <w:t>(1), 125. doi:0.18041/entramado.2017v13n1.25140</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 xml:space="preserve">Castro Núñez, J. J. (19 de Abril de 2018). Alcance del principio iura novit curia en la responsabilidad del Estado colombiano. </w:t>
      </w:r>
      <w:r w:rsidRPr="00707315">
        <w:rPr>
          <w:rFonts w:ascii="Times New Roman" w:hAnsi="Times New Roman"/>
          <w:i/>
          <w:iCs/>
          <w:noProof/>
          <w:sz w:val="24"/>
          <w:szCs w:val="24"/>
          <w:lang w:val="es-ES"/>
        </w:rPr>
        <w:t>Revista VirtualVia Inveniendi et Iudicandi, 13</w:t>
      </w:r>
      <w:r w:rsidRPr="00707315">
        <w:rPr>
          <w:rFonts w:ascii="Times New Roman" w:hAnsi="Times New Roman"/>
          <w:noProof/>
          <w:sz w:val="24"/>
          <w:szCs w:val="24"/>
          <w:lang w:val="es-ES"/>
        </w:rPr>
        <w:t>(1), 174. doi:https://doi.org/10.15332/s1909-0528.2018.0001.06</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CCE-EP-052-13 SEP-CC, 1078-11-P (Ruth Seni Pinoargote, Edgar Zarate Zarate y Hernando Morales Vinueza 07 de Agosto de 2013). Recuperado el 25 de 05 de 2020, de http://doc.corteconstitucional.gob.ec:8080/alfresco/d/d/workspace/SpacesStore/0ed97b2b-fa9d-465b-ab30-2194a75446d8/1078-11-ep-sen-mrvc.pdf?guest=true</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CCE-EP-151-14 SEP-CC, CASO N.° 0119-12-EP (Patricio Pazmiño Freiré, Edgar Zárate Zárate y Manuel Viteri Olvera 7 de Octubre de 2014). Recuperado el 25 de Mayo de 2020, de http://doc.corteconstitucional.gob.ec:8080/alfresco/d/d/workspace/SpacesStore/27f6206f-5d53-4364-a177-81a733c910bd/0119-12-ep-sen.pdf?guest=true</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CCE-EP-179-13 SEP-CC, 179-13-EP (Hernan Salgado Pesantes,Carmen Corral ponce y Ramiro Ávila Santamaría 04 de 03 de 2020). Recuperado el 25 de 05 de 2020, de http://doc.corteconstitucional.gob.ec:8080/alfresco/d/d/workspace/SpacesStore/ce18c87f-edd6-4844-a219-0b67e6152a5f/0179-13-EP-sen%2bvoto-salvado.pdf</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CCE-EP-256-98 SEP-CC (2003).</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i/>
          <w:iCs/>
          <w:noProof/>
          <w:sz w:val="24"/>
          <w:szCs w:val="24"/>
          <w:lang w:val="es-ES"/>
        </w:rPr>
        <w:t>Código Procesal Constitucional</w:t>
      </w:r>
      <w:r w:rsidRPr="00707315">
        <w:rPr>
          <w:rFonts w:ascii="Times New Roman" w:hAnsi="Times New Roman"/>
          <w:noProof/>
          <w:sz w:val="24"/>
          <w:szCs w:val="24"/>
          <w:lang w:val="es-ES"/>
        </w:rPr>
        <w:t xml:space="preserve"> (Vol. Ley 28237 del 28 de mayo de 2004). (22 de Marzo de 2004). Lima, Perú. Recuperado el 25 de Mayo de 2020, de https://www.tc.gob.pe/tc/private/adjuntos/transparencia/pdf/marco_legal/Codigo_Procesal.pdf</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i/>
          <w:iCs/>
          <w:noProof/>
          <w:sz w:val="24"/>
          <w:szCs w:val="24"/>
          <w:lang w:val="es-ES"/>
        </w:rPr>
        <w:t>Constitución de la República del Ecuador</w:t>
      </w:r>
      <w:r w:rsidRPr="00707315">
        <w:rPr>
          <w:rFonts w:ascii="Times New Roman" w:hAnsi="Times New Roman"/>
          <w:noProof/>
          <w:sz w:val="24"/>
          <w:szCs w:val="24"/>
          <w:lang w:val="es-ES"/>
        </w:rPr>
        <w:t xml:space="preserve"> (Vols. Registro Oficial No. 449, 20 de Octubre 2008). (2008). Montecristi, Manabí, Ecuador: FIELWEB. Recuperado el 26 de Mayo de 2020, de https://www.fielweb.com/Index.aspx?157Rabf6ik654#</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i/>
          <w:iCs/>
          <w:noProof/>
          <w:sz w:val="24"/>
          <w:szCs w:val="24"/>
          <w:lang w:val="es-ES"/>
        </w:rPr>
        <w:t>Convención Americana de Derechos Humanos</w:t>
      </w:r>
      <w:r w:rsidRPr="00707315">
        <w:rPr>
          <w:rFonts w:ascii="Times New Roman" w:hAnsi="Times New Roman"/>
          <w:noProof/>
          <w:sz w:val="24"/>
          <w:szCs w:val="24"/>
          <w:lang w:val="es-ES"/>
        </w:rPr>
        <w:t xml:space="preserve"> (Vols. Registro Oficial No. 801, 6 de Agosto 1984). (1969): Fielweb. Recuperado el 26 de Mayo de 2020, de https://www.fielweb.com/Index.aspx?157Rabf6ik654#</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i/>
          <w:iCs/>
          <w:noProof/>
          <w:sz w:val="24"/>
          <w:szCs w:val="24"/>
          <w:lang w:val="es-ES"/>
        </w:rPr>
        <w:t>Ley Orgánica de Garantías Jurisdiccionales y Control Constitucional</w:t>
      </w:r>
      <w:r w:rsidRPr="00707315">
        <w:rPr>
          <w:rFonts w:ascii="Times New Roman" w:hAnsi="Times New Roman"/>
          <w:noProof/>
          <w:sz w:val="24"/>
          <w:szCs w:val="24"/>
          <w:lang w:val="es-ES"/>
        </w:rPr>
        <w:t xml:space="preserve"> (Vols. Segundo Suplemento del Registro Oficial No.52 , 22 de Octubre 2009). (2009). Quito, Pichincha, Ecuador: Fielweb. Recuperado el 26 de Mayo de 2020, de https://www.fielweb.com/Index.aspx?157Rabf6ik654#</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 xml:space="preserve">Oyarte, R. (2016). </w:t>
      </w:r>
      <w:r w:rsidRPr="00707315">
        <w:rPr>
          <w:rFonts w:ascii="Times New Roman" w:hAnsi="Times New Roman"/>
          <w:i/>
          <w:iCs/>
          <w:noProof/>
          <w:sz w:val="24"/>
          <w:szCs w:val="24"/>
          <w:lang w:val="es-ES"/>
        </w:rPr>
        <w:t>Debido Proceso</w:t>
      </w:r>
      <w:r w:rsidRPr="00707315">
        <w:rPr>
          <w:rFonts w:ascii="Times New Roman" w:hAnsi="Times New Roman"/>
          <w:noProof/>
          <w:sz w:val="24"/>
          <w:szCs w:val="24"/>
          <w:lang w:val="es-ES"/>
        </w:rPr>
        <w:t xml:space="preserve"> (Primera ed.). Quito, Ecuador: Corporación de Estudios y Publicaciones.</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i/>
          <w:iCs/>
          <w:noProof/>
          <w:sz w:val="24"/>
          <w:szCs w:val="24"/>
          <w:lang w:val="es-ES"/>
        </w:rPr>
        <w:t>Pacto Internacional de Derechos Civiles y Políticos</w:t>
      </w:r>
      <w:r w:rsidRPr="00707315">
        <w:rPr>
          <w:rFonts w:ascii="Times New Roman" w:hAnsi="Times New Roman"/>
          <w:noProof/>
          <w:sz w:val="24"/>
          <w:szCs w:val="24"/>
          <w:lang w:val="es-ES"/>
        </w:rPr>
        <w:t xml:space="preserve"> (Vols. Registro Oficial No. 101 , 24 de Enero 1969). (1966): FIELWEB. Recuperado el 26 de Mayo de 2020, de https://www.fielweb.com/Index.aspx?157Rabf6ik654#</w:t>
      </w:r>
    </w:p>
    <w:p w:rsidR="0078788B" w:rsidRPr="00707315" w:rsidRDefault="0078788B" w:rsidP="0078788B">
      <w:pPr>
        <w:numPr>
          <w:ilvl w:val="0"/>
          <w:numId w:val="9"/>
        </w:numPr>
        <w:spacing w:after="0" w:line="360" w:lineRule="auto"/>
        <w:jc w:val="both"/>
        <w:rPr>
          <w:rFonts w:ascii="Times New Roman" w:hAnsi="Times New Roman"/>
          <w:noProof/>
          <w:sz w:val="24"/>
          <w:szCs w:val="24"/>
          <w:lang w:val="es-ES"/>
        </w:rPr>
      </w:pPr>
      <w:r w:rsidRPr="00707315">
        <w:rPr>
          <w:rFonts w:ascii="Times New Roman" w:hAnsi="Times New Roman"/>
          <w:noProof/>
          <w:sz w:val="24"/>
          <w:szCs w:val="24"/>
          <w:lang w:val="es-ES"/>
        </w:rPr>
        <w:t>SU108/18, SU108/18 (Alejandro Linares Cantillo, Carlos Bernal Pulido, Diana Fajardo Rivera, Luis Guillermo Guerrero Pérez, Antonio José Lizarazo Ocampo, Gloria Stella Ortiz Delgado, Cristina Pardo Schlesinger, José Fernando Reyes Cuartas y Alberto Rojas Ríos 16 de Noviembre de 2018). Recuperado el 25 de Mayo de 2020, de https://www.corteconstitucional.gov.co/relatoria/2018/SU108-18.htm</w:t>
      </w:r>
    </w:p>
    <w:p w:rsidR="00ED2C81" w:rsidRPr="00707315" w:rsidRDefault="00ED2C81" w:rsidP="00707315">
      <w:pPr>
        <w:spacing w:after="0" w:line="360" w:lineRule="auto"/>
        <w:contextualSpacing/>
        <w:jc w:val="both"/>
        <w:rPr>
          <w:rFonts w:ascii="Times New Roman" w:hAnsi="Times New Roman"/>
          <w:color w:val="000000"/>
          <w:sz w:val="24"/>
          <w:szCs w:val="24"/>
          <w:lang w:val="es-ES"/>
        </w:rPr>
      </w:pPr>
    </w:p>
    <w:p w:rsidR="005B3467" w:rsidRPr="00824FDC" w:rsidRDefault="005B3467" w:rsidP="004A1F65">
      <w:pPr>
        <w:spacing w:line="360" w:lineRule="auto"/>
        <w:contextualSpacing/>
        <w:jc w:val="both"/>
        <w:rPr>
          <w:rFonts w:ascii="Times New Roman" w:hAnsi="Times New Roman"/>
          <w:color w:val="000000"/>
          <w:sz w:val="24"/>
          <w:szCs w:val="26"/>
        </w:rPr>
      </w:pPr>
    </w:p>
    <w:p w:rsidR="005B3467" w:rsidRPr="00824FDC" w:rsidRDefault="005B3467" w:rsidP="004A1F65">
      <w:pPr>
        <w:spacing w:line="360" w:lineRule="auto"/>
        <w:contextualSpacing/>
        <w:jc w:val="both"/>
        <w:rPr>
          <w:rFonts w:ascii="Times New Roman" w:hAnsi="Times New Roman"/>
          <w:color w:val="000000"/>
          <w:sz w:val="24"/>
          <w:szCs w:val="26"/>
        </w:rPr>
      </w:pPr>
    </w:p>
    <w:p w:rsidR="00ED2C81" w:rsidRDefault="00ED2C81"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Default="000C4F88" w:rsidP="004A1F65">
      <w:pPr>
        <w:spacing w:line="360" w:lineRule="auto"/>
        <w:contextualSpacing/>
        <w:jc w:val="both"/>
        <w:rPr>
          <w:rFonts w:ascii="Times New Roman" w:hAnsi="Times New Roman"/>
          <w:color w:val="000000"/>
          <w:sz w:val="24"/>
          <w:szCs w:val="26"/>
        </w:rPr>
      </w:pPr>
    </w:p>
    <w:p w:rsidR="000C4F88" w:rsidRPr="00824FDC" w:rsidRDefault="000C4F88" w:rsidP="004A1F65">
      <w:pPr>
        <w:spacing w:line="360" w:lineRule="auto"/>
        <w:contextualSpacing/>
        <w:jc w:val="both"/>
        <w:rPr>
          <w:rFonts w:ascii="Times New Roman" w:hAnsi="Times New Roman"/>
          <w:color w:val="000000"/>
          <w:sz w:val="24"/>
          <w:szCs w:val="26"/>
        </w:rPr>
      </w:pPr>
    </w:p>
    <w:p w:rsidR="00ED2C81" w:rsidRDefault="00ED2C81" w:rsidP="004A1F65">
      <w:pPr>
        <w:spacing w:line="360" w:lineRule="auto"/>
        <w:contextualSpacing/>
        <w:jc w:val="both"/>
        <w:rPr>
          <w:rFonts w:ascii="Times New Roman" w:hAnsi="Times New Roman"/>
          <w:color w:val="000000"/>
          <w:sz w:val="24"/>
          <w:szCs w:val="26"/>
        </w:rPr>
      </w:pPr>
    </w:p>
    <w:p w:rsidR="0078788B" w:rsidRDefault="0078788B" w:rsidP="004A1F65">
      <w:pPr>
        <w:spacing w:line="360" w:lineRule="auto"/>
        <w:contextualSpacing/>
        <w:jc w:val="both"/>
        <w:rPr>
          <w:rFonts w:ascii="Times New Roman" w:hAnsi="Times New Roman"/>
          <w:color w:val="000000"/>
          <w:sz w:val="24"/>
          <w:szCs w:val="26"/>
        </w:rPr>
      </w:pPr>
    </w:p>
    <w:p w:rsidR="0078788B" w:rsidRPr="00824FDC" w:rsidRDefault="0078788B" w:rsidP="004A1F65">
      <w:pPr>
        <w:spacing w:line="360" w:lineRule="auto"/>
        <w:contextualSpacing/>
        <w:jc w:val="both"/>
        <w:rPr>
          <w:rFonts w:ascii="Times New Roman" w:hAnsi="Times New Roman"/>
          <w:color w:val="000000"/>
          <w:sz w:val="24"/>
          <w:szCs w:val="26"/>
        </w:rPr>
      </w:pPr>
    </w:p>
    <w:p w:rsidR="00953F95" w:rsidRPr="00D5340F" w:rsidRDefault="00953F95" w:rsidP="00B11B96">
      <w:pPr>
        <w:tabs>
          <w:tab w:val="left" w:pos="3952"/>
        </w:tabs>
        <w:spacing w:after="0" w:line="276" w:lineRule="auto"/>
        <w:contextualSpacing/>
        <w:jc w:val="center"/>
        <w:rPr>
          <w:rFonts w:ascii="Times New Roman" w:eastAsia="SimSun" w:hAnsi="Times New Roman"/>
          <w:sz w:val="16"/>
          <w:szCs w:val="16"/>
        </w:rPr>
      </w:pPr>
      <w:r w:rsidRPr="00D5340F">
        <w:rPr>
          <w:rFonts w:ascii="Times New Roman" w:eastAsia="SimSun" w:hAnsi="Times New Roman"/>
          <w:sz w:val="16"/>
          <w:szCs w:val="16"/>
        </w:rPr>
        <w:t>© 2021 por los autores. Este artículo es de acceso abierto y distribuido según los términos y condiciones de la licencia Creative Commons Atribución-NoComercial-CompartirIgual 4.0 Internacional (CC BY-NC-SA 4.0)</w:t>
      </w:r>
    </w:p>
    <w:p w:rsidR="00051063" w:rsidRPr="00D5340F" w:rsidRDefault="00953F95" w:rsidP="00953F95">
      <w:pPr>
        <w:tabs>
          <w:tab w:val="left" w:pos="3952"/>
        </w:tabs>
        <w:spacing w:after="0" w:line="276" w:lineRule="auto"/>
        <w:contextualSpacing/>
        <w:jc w:val="center"/>
        <w:rPr>
          <w:rFonts w:ascii="Times New Roman" w:eastAsia="SimSun" w:hAnsi="Times New Roman"/>
          <w:sz w:val="16"/>
          <w:szCs w:val="16"/>
        </w:rPr>
      </w:pPr>
      <w:r w:rsidRPr="00D5340F">
        <w:rPr>
          <w:rFonts w:ascii="Times New Roman" w:eastAsia="SimSun" w:hAnsi="Times New Roman"/>
          <w:sz w:val="16"/>
          <w:szCs w:val="16"/>
        </w:rPr>
        <w:t>(</w:t>
      </w:r>
      <w:r w:rsidRPr="00D5340F">
        <w:rPr>
          <w:rFonts w:ascii="Times New Roman" w:eastAsia="SimSun" w:hAnsi="Times New Roman"/>
          <w:color w:val="2E74B5"/>
          <w:sz w:val="16"/>
          <w:szCs w:val="16"/>
        </w:rPr>
        <w:t>https://creativecommons.org/licenses/by-nc-sa/4.0/</w:t>
      </w:r>
      <w:r w:rsidRPr="00D5340F">
        <w:rPr>
          <w:rFonts w:ascii="Times New Roman" w:eastAsia="SimSun" w:hAnsi="Times New Roman"/>
          <w:sz w:val="16"/>
          <w:szCs w:val="16"/>
        </w:rPr>
        <w:t>).</w:t>
      </w:r>
    </w:p>
    <w:sectPr w:rsidR="00051063" w:rsidRPr="00D5340F" w:rsidSect="0078788B">
      <w:headerReference w:type="even" r:id="rId32"/>
      <w:headerReference w:type="default" r:id="rId33"/>
      <w:headerReference w:type="first" r:id="rId34"/>
      <w:pgSz w:w="12240" w:h="15840" w:code="1"/>
      <w:pgMar w:top="1418" w:right="1418" w:bottom="1418" w:left="1418" w:header="454" w:footer="708" w:gutter="0"/>
      <w:pgNumType w:start="15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A0C" w:rsidRDefault="00EA0A0C" w:rsidP="002F0B70">
      <w:pPr>
        <w:spacing w:after="0" w:line="240" w:lineRule="auto"/>
      </w:pPr>
      <w:r>
        <w:separator/>
      </w:r>
    </w:p>
  </w:endnote>
  <w:endnote w:type="continuationSeparator" w:id="0">
    <w:p w:rsidR="00EA0A0C" w:rsidRDefault="00EA0A0C" w:rsidP="002F0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Yu Gothic"/>
    <w:charset w:val="80"/>
    <w:family w:val="swiss"/>
    <w:pitch w:val="default"/>
  </w:font>
  <w:font w:name="Humanst521 BT">
    <w:altName w:val="Segoe Print"/>
    <w:charset w:val="00"/>
    <w:family w:val="swiss"/>
    <w:pitch w:val="default"/>
    <w:sig w:usb0="800000AF" w:usb1="1000204A" w:usb2="00000000" w:usb3="00000000" w:csb0="00000011" w:csb1="00000000"/>
  </w:font>
  <w:font w:name="BCHPD G+ Times Ten">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Arial Unicode MS"/>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E37876">
    <w:pPr>
      <w:pStyle w:val="Piedepgina"/>
    </w:pPr>
    <w:r>
      <w:rPr>
        <w:noProof/>
        <w:lang w:eastAsia="es-EC"/>
      </w:rPr>
      <mc:AlternateContent>
        <mc:Choice Requires="wps">
          <w:drawing>
            <wp:anchor distT="0" distB="0" distL="114300" distR="114300" simplePos="0" relativeHeight="251651072" behindDoc="0" locked="0" layoutInCell="1" allowOverlap="1">
              <wp:simplePos x="0" y="0"/>
              <wp:positionH relativeFrom="column">
                <wp:posOffset>671195</wp:posOffset>
              </wp:positionH>
              <wp:positionV relativeFrom="paragraph">
                <wp:posOffset>365760</wp:posOffset>
              </wp:positionV>
              <wp:extent cx="5120005" cy="297180"/>
              <wp:effectExtent l="0" t="1905" r="4445" b="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183" w:rsidRPr="00C973BB" w:rsidRDefault="00684183" w:rsidP="00C973BB">
                          <w:pPr>
                            <w:jc w:val="center"/>
                            <w:rPr>
                              <w:sz w:val="18"/>
                              <w:szCs w:val="18"/>
                            </w:rPr>
                          </w:pPr>
                          <w:r w:rsidRPr="00953F95">
                            <w:rPr>
                              <w:rFonts w:ascii="Times New Roman" w:hAnsi="Times New Roman"/>
                              <w:sz w:val="18"/>
                              <w:szCs w:val="18"/>
                            </w:rPr>
                            <w:t>Pol. Con. (Edición núm. 63) Vol. 6</w:t>
                          </w:r>
                          <w:r>
                            <w:rPr>
                              <w:rFonts w:ascii="Times New Roman" w:hAnsi="Times New Roman"/>
                              <w:sz w:val="18"/>
                              <w:szCs w:val="18"/>
                            </w:rPr>
                            <w:t xml:space="preserve">, No 12, Diciembre 2021, pp. </w:t>
                          </w:r>
                          <w:r w:rsidR="0078788B">
                            <w:rPr>
                              <w:rFonts w:ascii="Times New Roman" w:hAnsi="Times New Roman"/>
                              <w:sz w:val="18"/>
                              <w:szCs w:val="20"/>
                            </w:rPr>
                            <w:t>1598-1613</w:t>
                          </w:r>
                          <w:r w:rsidRPr="00953F95">
                            <w:rPr>
                              <w:rFonts w:ascii="Times New Roman" w:hAnsi="Times New Roman"/>
                              <w:sz w:val="18"/>
                              <w:szCs w:val="18"/>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52.85pt;margin-top:28.8pt;width:403.15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2thAIAAAg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" stroked="f">
              <v:textbox>
                <w:txbxContent>
                  <w:p w:rsidR="00684183" w:rsidRPr="00C973BB" w:rsidRDefault="00684183" w:rsidP="00C973BB">
                    <w:pPr>
                      <w:jc w:val="center"/>
                      <w:rPr>
                        <w:sz w:val="18"/>
                        <w:szCs w:val="18"/>
                      </w:rPr>
                    </w:pPr>
                    <w:r w:rsidRPr="00953F95">
                      <w:rPr>
                        <w:rFonts w:ascii="Times New Roman" w:hAnsi="Times New Roman"/>
                        <w:sz w:val="18"/>
                        <w:szCs w:val="18"/>
                      </w:rPr>
                      <w:t>Pol. Con. (Edición núm. 63) Vol. 6</w:t>
                    </w:r>
                    <w:r>
                      <w:rPr>
                        <w:rFonts w:ascii="Times New Roman" w:hAnsi="Times New Roman"/>
                        <w:sz w:val="18"/>
                        <w:szCs w:val="18"/>
                      </w:rPr>
                      <w:t xml:space="preserve">, No 12, Diciembre 2021, pp. </w:t>
                    </w:r>
                    <w:r w:rsidR="0078788B">
                      <w:rPr>
                        <w:rFonts w:ascii="Times New Roman" w:hAnsi="Times New Roman"/>
                        <w:sz w:val="18"/>
                        <w:szCs w:val="20"/>
                      </w:rPr>
                      <w:t>1598-1613</w:t>
                    </w:r>
                    <w:r w:rsidRPr="00953F95">
                      <w:rPr>
                        <w:rFonts w:ascii="Times New Roman" w:hAnsi="Times New Roman"/>
                        <w:sz w:val="18"/>
                        <w:szCs w:val="18"/>
                      </w:rPr>
                      <w:t>, ISSN: 2550 - 682X</w:t>
                    </w:r>
                  </w:p>
                </w:txbxContent>
              </v:textbox>
            </v:rect>
          </w:pict>
        </mc:Fallback>
      </mc:AlternateContent>
    </w:r>
    <w:r>
      <w:rPr>
        <w:noProof/>
        <w:lang w:eastAsia="es-EC"/>
      </w:rPr>
      <mc:AlternateContent>
        <mc:Choice Requires="wps">
          <w:drawing>
            <wp:anchor distT="0" distB="0" distL="114300" distR="114300" simplePos="0" relativeHeight="251654144" behindDoc="0" locked="0" layoutInCell="1" allowOverlap="1">
              <wp:simplePos x="0" y="0"/>
              <wp:positionH relativeFrom="column">
                <wp:posOffset>671195</wp:posOffset>
              </wp:positionH>
              <wp:positionV relativeFrom="paragraph">
                <wp:posOffset>304165</wp:posOffset>
              </wp:positionV>
              <wp:extent cx="5120005" cy="635"/>
              <wp:effectExtent l="19050" t="16510" r="13970" b="20955"/>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EB3D4" id="_x0000_t32" coordsize="21600,21600" o:spt="32" o:oned="t" path="m,l21600,21600e" filled="f">
              <v:path arrowok="t" fillok="f" o:connecttype="none"/>
              <o:lock v:ext="edit" shapetype="t"/>
            </v:shapetype>
            <v:shape id="AutoShape 31" o:spid="_x0000_s1026" type="#_x0000_t32" style="position:absolute;margin-left:52.85pt;margin-top:23.95pt;width:403.1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H1Pm+U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87720" cy="612775"/>
              <wp:effectExtent l="5080" t="7620" r="3175" b="8255"/>
              <wp:docPr id="9"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12775"/>
                        <a:chOff x="0" y="-29"/>
                        <a:chExt cx="58879" cy="6127"/>
                      </a:xfrm>
                    </wpg:grpSpPr>
                    <wps:wsp>
                      <wps:cNvPr id="10"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 name="Oval 437"/>
                      <wps:cNvSpPr>
                        <a:spLocks noChangeArrowheads="1"/>
                      </wps:cNvSpPr>
                      <wps:spPr bwMode="auto">
                        <a:xfrm>
                          <a:off x="0" y="-29"/>
                          <a:ext cx="6127" cy="6126"/>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84183" w:rsidRPr="00DD39BA" w:rsidRDefault="00684183">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E37876" w:rsidRPr="00E37876">
                              <w:rPr>
                                <w:noProof/>
                                <w:color w:val="000000"/>
                                <w:sz w:val="32"/>
                                <w:szCs w:val="32"/>
                                <w:lang w:val="es-ES"/>
                              </w:rPr>
                              <w:t>1612</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3.6pt;height:48.25pt;mso-position-horizontal-relative:char;mso-position-vertical-relative:line" coordorigin=",-29" coordsize="5887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nMMQAAADbAAAADwAAAGRycy9kb3ducmV2LnhtbESPQWvCQBCF74X+h2UK3urGHkRSVxGt&#10;ELCHanvocciOSTA7G7KjJv31nUOhtxnem/e+Wa6H0Job9amJ7GA2zcAQl9E3XDn4+tw/L8AkQfbY&#10;RiYHIyVYrx4flpj7eOcj3U5SGQ3hlKODWqTLrU1lTQHTNHbEqp1jH1B07Svre7xreGjtS5bNbcCG&#10;taHGjrY1lZfTNTj4Hn924t+q8WN/ORzfN2OURVE4N3kaNq9ghAb5N/9dF17xlV5/0Q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ScwxAAAANsAAAAPAAAAAAAAAAAA&#10;AAAAAKECAABkcnMvZG93bnJldi54bWxQSwUGAAAAAAQABAD5AAAAkgMAAAAA&#10;" stroked="f"/>
              <v:oval id="Oval 437" o:spid="_x0000_s1033" style="position:absolute;top:-29;width:6127;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7LwA&#10;AADbAAAADwAAAGRycy9kb3ducmV2LnhtbERPvQrCMBDeBd8hnOBmUwVFqlFEEXQR1A6OR3O2xeZS&#10;mqjVpzeC4HYf3+/Nl62pxIMaV1pWMIxiEMSZ1SXnCtLzdjAF4TyyxsoyKXiRg+Wi25ljou2Tj/Q4&#10;+VyEEHYJKii8rxMpXVaQQRfZmjhwV9sY9AE2udQNPkO4qeQojifSYMmhocCa1gVlt9PdKMCN3m/L&#10;mg5purtXksb2baYXpfq9djUD4an1f/HPvdNh/hC+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z/HsvAAAANsAAAAPAAAAAAAAAAAAAAAAAJgCAABkcnMvZG93bnJldi54&#10;bWxQSwUGAAAAAAQABAD1AAAAgQMAAAAA&#10;" fillcolor="#7f5f00" stroked="f" strokeweight="2pt">
                <v:textbox inset="0,0,0,0">
                  <w:txbxContent>
                    <w:p w:rsidR="00684183" w:rsidRPr="00DD39BA" w:rsidRDefault="00684183">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E37876" w:rsidRPr="00E37876">
                        <w:rPr>
                          <w:noProof/>
                          <w:color w:val="000000"/>
                          <w:sz w:val="32"/>
                          <w:szCs w:val="32"/>
                          <w:lang w:val="es-ES"/>
                        </w:rPr>
                        <w:t>1612</w:t>
                      </w:r>
                      <w:r w:rsidRPr="00DD39BA">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E37876">
    <w:pPr>
      <w:pStyle w:val="Piedepgina"/>
    </w:pPr>
    <w:r>
      <w:rPr>
        <w:noProof/>
        <w:lang w:eastAsia="es-EC"/>
      </w:rPr>
      <mc:AlternateContent>
        <mc:Choice Requires="wps">
          <w:drawing>
            <wp:anchor distT="0" distB="0" distL="114300" distR="114300" simplePos="0" relativeHeight="251652096" behindDoc="0" locked="0" layoutInCell="1" allowOverlap="1">
              <wp:simplePos x="0" y="0"/>
              <wp:positionH relativeFrom="column">
                <wp:posOffset>-480695</wp:posOffset>
              </wp:positionH>
              <wp:positionV relativeFrom="paragraph">
                <wp:posOffset>354330</wp:posOffset>
              </wp:positionV>
              <wp:extent cx="5623560" cy="297180"/>
              <wp:effectExtent l="635" t="0" r="0" b="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183" w:rsidRDefault="00684183" w:rsidP="008B379D">
                          <w:pPr>
                            <w:jc w:val="right"/>
                          </w:pPr>
                          <w:r w:rsidRPr="00953F95">
                            <w:rPr>
                              <w:rFonts w:ascii="Times New Roman" w:hAnsi="Times New Roman"/>
                              <w:sz w:val="20"/>
                              <w:szCs w:val="20"/>
                            </w:rPr>
                            <w:t>Pol. Con. (Edición núm. 63) Vol. 6, No 1</w:t>
                          </w:r>
                          <w:r w:rsidR="000C4F88">
                            <w:rPr>
                              <w:rFonts w:ascii="Times New Roman" w:hAnsi="Times New Roman"/>
                              <w:sz w:val="20"/>
                              <w:szCs w:val="20"/>
                            </w:rPr>
                            <w:t xml:space="preserve">2, Diciembre 2021, pp. </w:t>
                          </w:r>
                          <w:r w:rsidR="00ED2C81">
                            <w:rPr>
                              <w:rFonts w:ascii="Times New Roman" w:hAnsi="Times New Roman"/>
                              <w:sz w:val="20"/>
                              <w:szCs w:val="20"/>
                            </w:rPr>
                            <w:t>15</w:t>
                          </w:r>
                          <w:r w:rsidR="0078788B">
                            <w:rPr>
                              <w:rFonts w:ascii="Times New Roman" w:hAnsi="Times New Roman"/>
                              <w:sz w:val="20"/>
                              <w:szCs w:val="20"/>
                            </w:rPr>
                            <w:t>98-1613</w:t>
                          </w:r>
                          <w:r w:rsidRPr="00953F95">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margin-left:-37.85pt;margin-top:27.9pt;width:442.8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" stroked="f">
              <v:textbox>
                <w:txbxContent>
                  <w:p w:rsidR="00684183" w:rsidRDefault="00684183" w:rsidP="008B379D">
                    <w:pPr>
                      <w:jc w:val="right"/>
                    </w:pPr>
                    <w:r w:rsidRPr="00953F95">
                      <w:rPr>
                        <w:rFonts w:ascii="Times New Roman" w:hAnsi="Times New Roman"/>
                        <w:sz w:val="20"/>
                        <w:szCs w:val="20"/>
                      </w:rPr>
                      <w:t>Pol. Con. (Edición núm. 63) Vol. 6, No 1</w:t>
                    </w:r>
                    <w:r w:rsidR="000C4F88">
                      <w:rPr>
                        <w:rFonts w:ascii="Times New Roman" w:hAnsi="Times New Roman"/>
                        <w:sz w:val="20"/>
                        <w:szCs w:val="20"/>
                      </w:rPr>
                      <w:t xml:space="preserve">2, Diciembre 2021, pp. </w:t>
                    </w:r>
                    <w:r w:rsidR="00ED2C81">
                      <w:rPr>
                        <w:rFonts w:ascii="Times New Roman" w:hAnsi="Times New Roman"/>
                        <w:sz w:val="20"/>
                        <w:szCs w:val="20"/>
                      </w:rPr>
                      <w:t>15</w:t>
                    </w:r>
                    <w:r w:rsidR="0078788B">
                      <w:rPr>
                        <w:rFonts w:ascii="Times New Roman" w:hAnsi="Times New Roman"/>
                        <w:sz w:val="20"/>
                        <w:szCs w:val="20"/>
                      </w:rPr>
                      <w:t>98-1613</w:t>
                    </w:r>
                    <w:r w:rsidRPr="00953F95">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5168" behindDoc="0" locked="0" layoutInCell="1" allowOverlap="1">
              <wp:simplePos x="0" y="0"/>
              <wp:positionH relativeFrom="column">
                <wp:posOffset>74295</wp:posOffset>
              </wp:positionH>
              <wp:positionV relativeFrom="paragraph">
                <wp:posOffset>291465</wp:posOffset>
              </wp:positionV>
              <wp:extent cx="5120005" cy="635"/>
              <wp:effectExtent l="12700" t="13335" r="20320" b="1460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C1435E" id="_x0000_t32" coordsize="21600,21600" o:spt="32" o:oned="t" path="m,l21600,21600e" filled="f">
              <v:path arrowok="t" fillok="f" o:connecttype="none"/>
              <o:lock v:ext="edit" shapetype="t"/>
            </v:shapetype>
            <v:shape id="AutoShape 32" o:spid="_x0000_s1026" type="#_x0000_t32" style="position:absolute;margin-left:5.85pt;margin-top:22.95pt;width:403.1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TRIQIAAD8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ywjTRIQIAAD8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476885"/>
              <wp:effectExtent l="0" t="7620" r="8255" b="1270"/>
              <wp:docPr id="4"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476885"/>
                        <a:chOff x="0" y="0"/>
                        <a:chExt cx="58445" cy="6064"/>
                      </a:xfrm>
                    </wpg:grpSpPr>
                    <wps:wsp>
                      <wps:cNvPr id="5" name="Straight Connector 439"/>
                      <wps:cNvCnPr>
                        <a:cxnSpLocks noChangeShapeType="1"/>
                      </wps:cNvCnPr>
                      <wps:spPr bwMode="auto">
                        <a:xfrm>
                          <a:off x="0" y="1528"/>
                          <a:ext cx="55768" cy="4421"/>
                        </a:xfrm>
                        <a:prstGeom prst="line">
                          <a:avLst/>
                        </a:prstGeom>
                        <a:no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 name="Oval 440"/>
                      <wps:cNvSpPr>
                        <a:spLocks noChangeArrowheads="1"/>
                      </wps:cNvSpPr>
                      <wps:spPr bwMode="auto">
                        <a:xfrm>
                          <a:off x="52452" y="0"/>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84183" w:rsidRPr="00DD39BA" w:rsidRDefault="00684183">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E37876" w:rsidRPr="00E37876">
                              <w:rPr>
                                <w:noProof/>
                                <w:color w:val="000000"/>
                                <w:sz w:val="32"/>
                                <w:szCs w:val="32"/>
                                <w:lang w:val="es-ES"/>
                              </w:rPr>
                              <w:t>1613</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37.5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d28AAAADaAAAADwAAAGRycy9kb3ducmV2LnhtbESPwWrDMBBE74X+g9hCb43cQEP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z3dvAAAAA2gAAAA8AAAAAAAAAAAAAAAAA&#10;oQIAAGRycy9kb3ducmV2LnhtbFBLBQYAAAAABAAEAPkAAACOAwAAAAA=&#10;" stroked="f"/>
              <v:oval id="Oval 440" o:spid="_x0000_s1037"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684183" w:rsidRPr="00DD39BA" w:rsidRDefault="00684183">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E37876" w:rsidRPr="00E37876">
                        <w:rPr>
                          <w:noProof/>
                          <w:color w:val="000000"/>
                          <w:sz w:val="32"/>
                          <w:szCs w:val="32"/>
                          <w:lang w:val="es-ES"/>
                        </w:rPr>
                        <w:t>1613</w:t>
                      </w:r>
                      <w:r w:rsidRPr="00DD39BA">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E37876">
    <w:pPr>
      <w:pStyle w:val="Piedepgina"/>
    </w:pPr>
    <w:r>
      <w:rPr>
        <w:noProof/>
        <w:lang w:eastAsia="es-EC"/>
      </w:rPr>
      <mc:AlternateContent>
        <mc:Choice Requires="wps">
          <w:drawing>
            <wp:anchor distT="0" distB="0" distL="114300" distR="114300" simplePos="0" relativeHeight="251656192" behindDoc="0" locked="0" layoutInCell="1" allowOverlap="1">
              <wp:simplePos x="0" y="0"/>
              <wp:positionH relativeFrom="column">
                <wp:posOffset>485140</wp:posOffset>
              </wp:positionH>
              <wp:positionV relativeFrom="paragraph">
                <wp:posOffset>41275</wp:posOffset>
              </wp:positionV>
              <wp:extent cx="4582795" cy="297180"/>
              <wp:effectExtent l="4445" t="1270" r="381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183" w:rsidRPr="008B379D" w:rsidRDefault="00684183" w:rsidP="008B379D">
                          <w:pPr>
                            <w:jc w:val="center"/>
                          </w:pPr>
                          <w:r w:rsidRPr="008911DB">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margin-left:38.2pt;margin-top:3.25pt;width:360.8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" stroked="f">
              <v:textbox>
                <w:txbxContent>
                  <w:p w:rsidR="00684183" w:rsidRPr="008B379D" w:rsidRDefault="00684183" w:rsidP="008B379D">
                    <w:pPr>
                      <w:jc w:val="center"/>
                    </w:pPr>
                    <w:r w:rsidRPr="008911DB">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3120" behindDoc="0" locked="0" layoutInCell="1" allowOverlap="1">
              <wp:simplePos x="0" y="0"/>
              <wp:positionH relativeFrom="column">
                <wp:posOffset>196850</wp:posOffset>
              </wp:positionH>
              <wp:positionV relativeFrom="paragraph">
                <wp:posOffset>-31750</wp:posOffset>
              </wp:positionV>
              <wp:extent cx="5120005" cy="635"/>
              <wp:effectExtent l="20955" t="13970" r="21590" b="1397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2699A" id="_x0000_t32" coordsize="21600,21600" o:spt="32" o:oned="t" path="m,l21600,21600e" filled="f">
              <v:path arrowok="t" fillok="f" o:connecttype="none"/>
              <o:lock v:ext="edit" shapetype="t"/>
            </v:shapetype>
            <v:shape id="AutoShape 30" o:spid="_x0000_s1026" type="#_x0000_t32" style="position:absolute;margin-left:15.5pt;margin-top:-2.5pt;width:403.1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XIQ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A0C" w:rsidRDefault="00EA0A0C" w:rsidP="002F0B70">
      <w:pPr>
        <w:spacing w:after="0" w:line="240" w:lineRule="auto"/>
      </w:pPr>
      <w:r>
        <w:separator/>
      </w:r>
    </w:p>
  </w:footnote>
  <w:footnote w:type="continuationSeparator" w:id="0">
    <w:p w:rsidR="00EA0A0C" w:rsidRDefault="00EA0A0C" w:rsidP="002F0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684183">
    <w:pPr>
      <w:pStyle w:val="Encabezado"/>
    </w:pP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684183" w:rsidP="005B5D18">
    <w:pPr>
      <w:pStyle w:val="Encabezado"/>
      <w:tabs>
        <w:tab w:val="left" w:pos="503"/>
        <w:tab w:val="right" w:pos="9404"/>
      </w:tabs>
    </w:pPr>
    <w:r>
      <w:rPr>
        <w:noProof/>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E37876">
    <w:pPr>
      <w:pStyle w:val="Encabezado"/>
    </w:pPr>
    <w:r>
      <w:rPr>
        <w:noProof/>
        <w:lang w:eastAsia="es-EC"/>
      </w:rPr>
      <w:drawing>
        <wp:anchor distT="0" distB="0" distL="0" distR="0" simplePos="0" relativeHeight="251660288"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5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7216"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684183" w:rsidRPr="00953F95" w:rsidRDefault="00684183" w:rsidP="00953F95">
                          <w:pPr>
                            <w:pStyle w:val="Sinespaciado"/>
                            <w:rPr>
                              <w:rFonts w:ascii="Times New Roman" w:hAnsi="Times New Roman"/>
                              <w:b/>
                            </w:rPr>
                          </w:pPr>
                          <w:r w:rsidRPr="00953F95">
                            <w:rPr>
                              <w:rFonts w:ascii="Times New Roman" w:hAnsi="Times New Roman"/>
                              <w:b/>
                            </w:rPr>
                            <w:t>Pol. Con.</w:t>
                          </w:r>
                          <w:r>
                            <w:rPr>
                              <w:rFonts w:ascii="Times New Roman" w:hAnsi="Times New Roman"/>
                              <w:b/>
                            </w:rPr>
                            <w:t xml:space="preserve"> (Edición núm. 63) Vol. 6, No 12</w:t>
                          </w:r>
                        </w:p>
                        <w:p w:rsidR="00684183" w:rsidRPr="006A36DF" w:rsidRDefault="00684183" w:rsidP="00953F95">
                          <w:pPr>
                            <w:pStyle w:val="Sinespaciado"/>
                            <w:rPr>
                              <w:rFonts w:ascii="Times New Roman" w:hAnsi="Times New Roman"/>
                              <w:b/>
                            </w:rPr>
                          </w:pPr>
                          <w:r w:rsidRPr="006A36DF">
                            <w:rPr>
                              <w:rFonts w:ascii="Times New Roman" w:hAnsi="Times New Roman"/>
                              <w:b/>
                            </w:rPr>
                            <w:t xml:space="preserve">Diciembre 2021, pp. </w:t>
                          </w:r>
                          <w:r w:rsidR="0078788B">
                            <w:rPr>
                              <w:rFonts w:ascii="Times New Roman" w:hAnsi="Times New Roman"/>
                              <w:b/>
                            </w:rPr>
                            <w:t>1598-1613</w:t>
                          </w:r>
                        </w:p>
                        <w:p w:rsidR="00684183" w:rsidRPr="00B06B9C" w:rsidRDefault="00684183" w:rsidP="00953F95">
                          <w:pPr>
                            <w:pStyle w:val="Sinespaciado"/>
                            <w:rPr>
                              <w:rFonts w:ascii="Times New Roman" w:hAnsi="Times New Roman"/>
                              <w:b/>
                              <w:lang w:val="en-US"/>
                            </w:rPr>
                          </w:pPr>
                          <w:r w:rsidRPr="00B06B9C">
                            <w:rPr>
                              <w:rFonts w:ascii="Times New Roman" w:hAnsi="Times New Roman"/>
                              <w:b/>
                              <w:lang w:val="en-US"/>
                            </w:rPr>
                            <w:t>ISSN: 2550 - 682X</w:t>
                          </w:r>
                        </w:p>
                        <w:p w:rsidR="00684183" w:rsidRPr="00A42696" w:rsidRDefault="0078788B" w:rsidP="00953F95">
                          <w:pPr>
                            <w:pStyle w:val="Sinespaciado"/>
                            <w:rPr>
                              <w:rFonts w:ascii="Times New Roman" w:hAnsi="Times New Roman"/>
                              <w:b/>
                              <w:lang w:val="pt-BR"/>
                            </w:rPr>
                          </w:pPr>
                          <w:r>
                            <w:rPr>
                              <w:rFonts w:ascii="Times New Roman" w:hAnsi="Times New Roman"/>
                              <w:b/>
                              <w:lang w:val="en-US"/>
                            </w:rPr>
                            <w:t>DOI: 10.23857/pc.v6i12.3458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684183" w:rsidRPr="00953F95" w:rsidRDefault="00684183" w:rsidP="00953F95">
                    <w:pPr>
                      <w:pStyle w:val="Sinespaciado"/>
                      <w:rPr>
                        <w:rFonts w:ascii="Times New Roman" w:hAnsi="Times New Roman"/>
                        <w:b/>
                      </w:rPr>
                    </w:pPr>
                    <w:r w:rsidRPr="00953F95">
                      <w:rPr>
                        <w:rFonts w:ascii="Times New Roman" w:hAnsi="Times New Roman"/>
                        <w:b/>
                      </w:rPr>
                      <w:t>Pol. Con.</w:t>
                    </w:r>
                    <w:r>
                      <w:rPr>
                        <w:rFonts w:ascii="Times New Roman" w:hAnsi="Times New Roman"/>
                        <w:b/>
                      </w:rPr>
                      <w:t xml:space="preserve"> (Edición núm. 63) Vol. 6, No 12</w:t>
                    </w:r>
                  </w:p>
                  <w:p w:rsidR="00684183" w:rsidRPr="006A36DF" w:rsidRDefault="00684183" w:rsidP="00953F95">
                    <w:pPr>
                      <w:pStyle w:val="Sinespaciado"/>
                      <w:rPr>
                        <w:rFonts w:ascii="Times New Roman" w:hAnsi="Times New Roman"/>
                        <w:b/>
                      </w:rPr>
                    </w:pPr>
                    <w:r w:rsidRPr="006A36DF">
                      <w:rPr>
                        <w:rFonts w:ascii="Times New Roman" w:hAnsi="Times New Roman"/>
                        <w:b/>
                      </w:rPr>
                      <w:t xml:space="preserve">Diciembre 2021, pp. </w:t>
                    </w:r>
                    <w:r w:rsidR="0078788B">
                      <w:rPr>
                        <w:rFonts w:ascii="Times New Roman" w:hAnsi="Times New Roman"/>
                        <w:b/>
                      </w:rPr>
                      <w:t>1598-1613</w:t>
                    </w:r>
                  </w:p>
                  <w:p w:rsidR="00684183" w:rsidRPr="00B06B9C" w:rsidRDefault="00684183" w:rsidP="00953F95">
                    <w:pPr>
                      <w:pStyle w:val="Sinespaciado"/>
                      <w:rPr>
                        <w:rFonts w:ascii="Times New Roman" w:hAnsi="Times New Roman"/>
                        <w:b/>
                        <w:lang w:val="en-US"/>
                      </w:rPr>
                    </w:pPr>
                    <w:r w:rsidRPr="00B06B9C">
                      <w:rPr>
                        <w:rFonts w:ascii="Times New Roman" w:hAnsi="Times New Roman"/>
                        <w:b/>
                        <w:lang w:val="en-US"/>
                      </w:rPr>
                      <w:t>ISSN: 2550 - 682X</w:t>
                    </w:r>
                  </w:p>
                  <w:p w:rsidR="00684183" w:rsidRPr="00A42696" w:rsidRDefault="0078788B" w:rsidP="00953F95">
                    <w:pPr>
                      <w:pStyle w:val="Sinespaciado"/>
                      <w:rPr>
                        <w:rFonts w:ascii="Times New Roman" w:hAnsi="Times New Roman"/>
                        <w:b/>
                        <w:lang w:val="pt-BR"/>
                      </w:rPr>
                    </w:pPr>
                    <w:r>
                      <w:rPr>
                        <w:rFonts w:ascii="Times New Roman" w:hAnsi="Times New Roman"/>
                        <w:b/>
                        <w:lang w:val="en-US"/>
                      </w:rPr>
                      <w:t>DOI: 10.23857/pc.v6i12.3458</w:t>
                    </w:r>
                  </w:p>
                </w:txbxContent>
              </v:textbox>
            </v:rect>
          </w:pict>
        </mc:Fallback>
      </mc:AlternateContent>
    </w:r>
    <w:r w:rsidR="00684183" w:rsidRPr="00F87267">
      <w:t xml:space="preserve"> </w:t>
    </w:r>
  </w:p>
  <w:p w:rsidR="00684183" w:rsidRDefault="0068418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E37876">
    <w:pPr>
      <w:pStyle w:val="Encabezado"/>
    </w:pPr>
    <w:r>
      <w:rPr>
        <w:noProof/>
        <w:lang w:eastAsia="es-EC"/>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-183515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684183" w:rsidRPr="0078788B" w:rsidRDefault="0078788B" w:rsidP="00C67FE1">
                          <w:pPr>
                            <w:widowControl w:val="0"/>
                            <w:spacing w:after="0" w:line="240" w:lineRule="auto"/>
                            <w:jc w:val="center"/>
                            <w:rPr>
                              <w:rFonts w:ascii="Times New Roman" w:eastAsia="Times New Roman" w:hAnsi="Times New Roman"/>
                              <w:szCs w:val="24"/>
                              <w:lang w:val="pt-BR" w:eastAsia="es-ES"/>
                            </w:rPr>
                          </w:pPr>
                          <w:r w:rsidRPr="0078788B">
                            <w:rPr>
                              <w:rFonts w:ascii="Times New Roman" w:eastAsia="Times New Roman" w:hAnsi="Times New Roman"/>
                              <w:szCs w:val="24"/>
                              <w:lang w:val="pt-BR" w:eastAsia="es-ES"/>
                            </w:rPr>
                            <w:t>El Factor Temporalidad en la Presentación de la Acción de Protección como Requisito de Admisibilidad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3pt;margin-top:-14.45pt;width:472.1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" filled="f" stroked="f">
              <v:textbox>
                <w:txbxContent>
                  <w:p w:rsidR="00684183" w:rsidRPr="0078788B" w:rsidRDefault="0078788B" w:rsidP="00C67FE1">
                    <w:pPr>
                      <w:widowControl w:val="0"/>
                      <w:spacing w:after="0" w:line="240" w:lineRule="auto"/>
                      <w:jc w:val="center"/>
                      <w:rPr>
                        <w:rFonts w:ascii="Times New Roman" w:eastAsia="Times New Roman" w:hAnsi="Times New Roman"/>
                        <w:szCs w:val="24"/>
                        <w:lang w:val="pt-BR" w:eastAsia="es-ES"/>
                      </w:rPr>
                    </w:pPr>
                    <w:r w:rsidRPr="0078788B">
                      <w:rPr>
                        <w:rFonts w:ascii="Times New Roman" w:eastAsia="Times New Roman" w:hAnsi="Times New Roman"/>
                        <w:szCs w:val="24"/>
                        <w:lang w:val="pt-BR" w:eastAsia="es-ES"/>
                      </w:rPr>
                      <w:t>El Factor Temporalidad en la Presentación de la Acción de Protección como Requisito de Admisibilidad</w:t>
                    </w:r>
                  </w:p>
                </w:txbxContent>
              </v:textbox>
            </v:rect>
          </w:pict>
        </mc:Fallback>
      </mc:AlternateContent>
    </w:r>
    <w:r>
      <w:rPr>
        <w:noProof/>
        <w:lang w:eastAsia="es-EC"/>
      </w:rPr>
      <w:drawing>
        <wp:anchor distT="0" distB="0" distL="0" distR="0" simplePos="0" relativeHeight="251661312" behindDoc="1" locked="0" layoutInCell="1" allowOverlap="1">
          <wp:simplePos x="0" y="0"/>
          <wp:positionH relativeFrom="column">
            <wp:posOffset>-885190</wp:posOffset>
          </wp:positionH>
          <wp:positionV relativeFrom="paragraph">
            <wp:posOffset>-285115</wp:posOffset>
          </wp:positionV>
          <wp:extent cx="7768590" cy="683895"/>
          <wp:effectExtent l="0" t="0" r="3810" b="1905"/>
          <wp:wrapNone/>
          <wp:docPr id="5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
  <w:p w:rsidR="00684183" w:rsidRDefault="00684183">
    <w:pPr>
      <w:pStyle w:val="Encabezado"/>
    </w:pPr>
  </w:p>
  <w:p w:rsidR="00684183" w:rsidRDefault="0068418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E37876" w:rsidP="005B5D18">
    <w:pPr>
      <w:pStyle w:val="Encabezado"/>
      <w:tabs>
        <w:tab w:val="left" w:pos="503"/>
        <w:tab w:val="right" w:pos="9404"/>
      </w:tabs>
    </w:pPr>
    <w:r>
      <w:rPr>
        <w:noProof/>
        <w:lang w:eastAsia="es-EC"/>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-185420</wp:posOffset>
              </wp:positionV>
              <wp:extent cx="6160135" cy="514350"/>
              <wp:effectExtent l="4445" t="0" r="0" b="1905"/>
              <wp:wrapNone/>
              <wp:docPr id="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183" w:rsidRPr="002B548D" w:rsidRDefault="00707315" w:rsidP="001E7923">
                          <w:pPr>
                            <w:pStyle w:val="Sinespaciado"/>
                            <w:jc w:val="center"/>
                            <w:rPr>
                              <w:rFonts w:ascii="Times New Roman" w:eastAsia="Times New Roman" w:hAnsi="Times New Roman"/>
                            </w:rPr>
                          </w:pPr>
                          <w:r>
                            <w:rPr>
                              <w:rFonts w:ascii="Times New Roman" w:eastAsia="Times New Roman" w:hAnsi="Times New Roman"/>
                            </w:rPr>
                            <w:t>Priscilla Pilar Porras</w:t>
                          </w:r>
                          <w:r w:rsidRPr="00707315">
                            <w:rPr>
                              <w:rFonts w:ascii="Times New Roman" w:eastAsia="Times New Roman" w:hAnsi="Times New Roman"/>
                            </w:rPr>
                            <w:t xml:space="preserve"> Villagómez</w:t>
                          </w:r>
                          <w:r>
                            <w:rPr>
                              <w:rFonts w:ascii="Times New Roman" w:eastAsia="Times New Roman" w:hAnsi="Times New Roman"/>
                            </w:rPr>
                            <w:t xml:space="preserve">, </w:t>
                          </w:r>
                          <w:r w:rsidRPr="00707315">
                            <w:rPr>
                              <w:rFonts w:ascii="Times New Roman" w:eastAsia="Times New Roman" w:hAnsi="Times New Roman"/>
                            </w:rPr>
                            <w:t>Jari</w:t>
                          </w:r>
                          <w:r>
                            <w:rPr>
                              <w:rFonts w:ascii="Times New Roman" w:eastAsia="Times New Roman" w:hAnsi="Times New Roman"/>
                            </w:rPr>
                            <w:t xml:space="preserve">bel Sofía Sánchez </w:t>
                          </w:r>
                          <w:r w:rsidRPr="00707315">
                            <w:rPr>
                              <w:rFonts w:ascii="Times New Roman" w:eastAsia="Times New Roman" w:hAnsi="Times New Roman"/>
                            </w:rPr>
                            <w:t>Lozano</w:t>
                          </w:r>
                          <w:r>
                            <w:rPr>
                              <w:rFonts w:ascii="Times New Roman" w:eastAsia="Times New Roman" w:hAnsi="Times New Roman"/>
                            </w:rPr>
                            <w:t>, Andrés Esteban Vásquez</w:t>
                          </w:r>
                          <w:r w:rsidRPr="00707315">
                            <w:rPr>
                              <w:rFonts w:ascii="Times New Roman" w:eastAsia="Times New Roman" w:hAnsi="Times New Roman"/>
                            </w:rPr>
                            <w:t xml:space="preserve"> Jadán</w:t>
                          </w:r>
                          <w:r>
                            <w:rPr>
                              <w:rFonts w:ascii="Times New Roman" w:eastAsia="Times New Roman" w:hAnsi="Times New Roman"/>
                            </w:rPr>
                            <w:t>, Juan José Torres</w:t>
                          </w:r>
                          <w:r w:rsidRPr="00707315">
                            <w:rPr>
                              <w:rFonts w:ascii="Times New Roman" w:eastAsia="Times New Roman" w:hAnsi="Times New Roman"/>
                            </w:rPr>
                            <w:t xml:space="preserve"> Espinoza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1" style="position:absolute;margin-left:-6.05pt;margin-top:-14.6pt;width:485.0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" filled="f" stroked="f">
              <v:textbox>
                <w:txbxContent>
                  <w:p w:rsidR="00684183" w:rsidRPr="002B548D" w:rsidRDefault="00707315" w:rsidP="001E7923">
                    <w:pPr>
                      <w:pStyle w:val="Sinespaciado"/>
                      <w:jc w:val="center"/>
                      <w:rPr>
                        <w:rFonts w:ascii="Times New Roman" w:eastAsia="Times New Roman" w:hAnsi="Times New Roman"/>
                      </w:rPr>
                    </w:pPr>
                    <w:r>
                      <w:rPr>
                        <w:rFonts w:ascii="Times New Roman" w:eastAsia="Times New Roman" w:hAnsi="Times New Roman"/>
                      </w:rPr>
                      <w:t>Priscilla Pilar Porras</w:t>
                    </w:r>
                    <w:r w:rsidRPr="00707315">
                      <w:rPr>
                        <w:rFonts w:ascii="Times New Roman" w:eastAsia="Times New Roman" w:hAnsi="Times New Roman"/>
                      </w:rPr>
                      <w:t xml:space="preserve"> Villagómez</w:t>
                    </w:r>
                    <w:r>
                      <w:rPr>
                        <w:rFonts w:ascii="Times New Roman" w:eastAsia="Times New Roman" w:hAnsi="Times New Roman"/>
                      </w:rPr>
                      <w:t xml:space="preserve">, </w:t>
                    </w:r>
                    <w:r w:rsidRPr="00707315">
                      <w:rPr>
                        <w:rFonts w:ascii="Times New Roman" w:eastAsia="Times New Roman" w:hAnsi="Times New Roman"/>
                      </w:rPr>
                      <w:t>Jari</w:t>
                    </w:r>
                    <w:r>
                      <w:rPr>
                        <w:rFonts w:ascii="Times New Roman" w:eastAsia="Times New Roman" w:hAnsi="Times New Roman"/>
                      </w:rPr>
                      <w:t xml:space="preserve">bel Sofía Sánchez </w:t>
                    </w:r>
                    <w:r w:rsidRPr="00707315">
                      <w:rPr>
                        <w:rFonts w:ascii="Times New Roman" w:eastAsia="Times New Roman" w:hAnsi="Times New Roman"/>
                      </w:rPr>
                      <w:t>Lozano</w:t>
                    </w:r>
                    <w:r>
                      <w:rPr>
                        <w:rFonts w:ascii="Times New Roman" w:eastAsia="Times New Roman" w:hAnsi="Times New Roman"/>
                      </w:rPr>
                      <w:t>, Andrés Esteban Vásquez</w:t>
                    </w:r>
                    <w:r w:rsidRPr="00707315">
                      <w:rPr>
                        <w:rFonts w:ascii="Times New Roman" w:eastAsia="Times New Roman" w:hAnsi="Times New Roman"/>
                      </w:rPr>
                      <w:t xml:space="preserve"> Jadán</w:t>
                    </w:r>
                    <w:r>
                      <w:rPr>
                        <w:rFonts w:ascii="Times New Roman" w:eastAsia="Times New Roman" w:hAnsi="Times New Roman"/>
                      </w:rPr>
                      <w:t>, Juan José Torres</w:t>
                    </w:r>
                    <w:r w:rsidRPr="00707315">
                      <w:rPr>
                        <w:rFonts w:ascii="Times New Roman" w:eastAsia="Times New Roman" w:hAnsi="Times New Roman"/>
                      </w:rPr>
                      <w:t xml:space="preserve"> Espinoza</w:t>
                    </w:r>
                  </w:p>
                </w:txbxContent>
              </v:textbox>
            </v:rect>
          </w:pict>
        </mc:Fallback>
      </mc:AlternateContent>
    </w:r>
    <w:r>
      <w:rPr>
        <w:noProof/>
        <w:lang w:eastAsia="es-EC"/>
      </w:rPr>
      <w:drawing>
        <wp:anchor distT="0" distB="0" distL="0" distR="0" simplePos="0" relativeHeight="251662336" behindDoc="1" locked="0" layoutInCell="1" allowOverlap="1">
          <wp:simplePos x="0" y="0"/>
          <wp:positionH relativeFrom="column">
            <wp:posOffset>-913765</wp:posOffset>
          </wp:positionH>
          <wp:positionV relativeFrom="paragraph">
            <wp:posOffset>-296545</wp:posOffset>
          </wp:positionV>
          <wp:extent cx="7768590" cy="683895"/>
          <wp:effectExtent l="0" t="0" r="3810" b="1905"/>
          <wp:wrapNone/>
          <wp:docPr id="59" name="Imagen 5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684183">
      <w:tab/>
    </w:r>
  </w:p>
  <w:p w:rsidR="00684183" w:rsidRDefault="00684183" w:rsidP="005B5D18">
    <w:pPr>
      <w:pStyle w:val="Encabezado"/>
      <w:tabs>
        <w:tab w:val="left" w:pos="503"/>
        <w:tab w:val="right" w:pos="9404"/>
      </w:tabs>
    </w:pPr>
  </w:p>
  <w:p w:rsidR="00684183" w:rsidRDefault="00684183" w:rsidP="005B5D18">
    <w:pPr>
      <w:pStyle w:val="Encabezado"/>
      <w:tabs>
        <w:tab w:val="left" w:pos="503"/>
        <w:tab w:val="right" w:pos="9404"/>
      </w:tabs>
    </w:pPr>
  </w:p>
  <w:p w:rsidR="00684183" w:rsidRDefault="00684183" w:rsidP="00C75584">
    <w:pPr>
      <w:pStyle w:val="Encabezado"/>
      <w:tabs>
        <w:tab w:val="clear" w:pos="4419"/>
        <w:tab w:val="clear" w:pos="8838"/>
        <w:tab w:val="left" w:pos="503"/>
        <w:tab w:val="left" w:pos="5835"/>
      </w:tabs>
    </w:pP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83" w:rsidRDefault="00684183">
    <w:pPr>
      <w:pStyle w:val="Encabezado"/>
    </w:pPr>
    <w:r>
      <w:t>Dddddddddd</w:t>
    </w:r>
  </w:p>
  <w:p w:rsidR="00684183" w:rsidRDefault="00684183">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432" w:hanging="432"/>
      </w:pPr>
      <w:rPr>
        <w:rFonts w:ascii="Times New Roman" w:eastAsia="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 w15:restartNumberingAfterBreak="0">
    <w:nsid w:val="000574F3"/>
    <w:multiLevelType w:val="hybridMultilevel"/>
    <w:tmpl w:val="B23AF0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122D52"/>
    <w:multiLevelType w:val="hybridMultilevel"/>
    <w:tmpl w:val="AF4ECC8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84957BF"/>
    <w:multiLevelType w:val="hybridMultilevel"/>
    <w:tmpl w:val="5CE071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00B0633"/>
    <w:multiLevelType w:val="hybridMultilevel"/>
    <w:tmpl w:val="24EA6F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07E367F"/>
    <w:multiLevelType w:val="hybridMultilevel"/>
    <w:tmpl w:val="D104078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A2C7270"/>
    <w:multiLevelType w:val="hybridMultilevel"/>
    <w:tmpl w:val="FF0AA5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9657532"/>
    <w:multiLevelType w:val="hybridMultilevel"/>
    <w:tmpl w:val="7C3A4344"/>
    <w:lvl w:ilvl="0" w:tplc="3A06405C">
      <w:start w:val="1"/>
      <w:numFmt w:val="upperRoman"/>
      <w:lvlText w:val="%1."/>
      <w:lvlJc w:val="left"/>
      <w:pPr>
        <w:ind w:left="1440" w:hanging="72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6AF91A3B"/>
    <w:multiLevelType w:val="hybridMultilevel"/>
    <w:tmpl w:val="019C0A4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4"/>
  </w:num>
  <w:num w:numId="5">
    <w:abstractNumId w:val="7"/>
  </w:num>
  <w:num w:numId="6">
    <w:abstractNumId w:val="8"/>
  </w:num>
  <w:num w:numId="7">
    <w:abstractNumId w:val="3"/>
  </w:num>
  <w:num w:numId="8">
    <w:abstractNumId w:val="2"/>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AR" w:vendorID="64" w:dllVersion="131078" w:nlCheck="1" w:checkStyle="1"/>
  <w:activeWritingStyle w:appName="MSWord" w:lang="es-EC"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fr-FR" w:vendorID="64" w:dllVersion="131078" w:nlCheck="1" w:checkStyle="1"/>
  <w:activeWritingStyle w:appName="MSWord" w:lang="es-CO" w:vendorID="64" w:dllVersion="131078" w:nlCheck="1" w:checkStyle="1"/>
  <w:activeWritingStyle w:appName="MSWord" w:lang="es-US" w:vendorID="64" w:dllVersion="131078" w:nlCheck="1" w:checkStyle="1"/>
  <w:activeWritingStyle w:appName="MSWord" w:lang="es-PR" w:vendorID="64" w:dllVersion="131078" w:nlCheck="1" w:checkStyle="1"/>
  <w:activeWritingStyle w:appName="MSWord" w:lang="es-PY" w:vendorID="64" w:dllVersion="131078" w:nlCheck="1" w:checkStyle="1"/>
  <w:activeWritingStyle w:appName="MSWord" w:lang="en-GB" w:vendorID="64" w:dllVersion="131078" w:nlCheck="1" w:checkStyle="1"/>
  <w:defaultTabStop w:val="708"/>
  <w:hyphenationZone w:val="425"/>
  <w:evenAndOddHeaders/>
  <w:characterSpacingControl w:val="doNotCompress"/>
  <w:savePreviewPicture/>
  <w:hdrShapeDefaults>
    <o:shapedefaults v:ext="edit" spidmax="2049">
      <o:colormru v:ext="edit" colors="#f9a80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570"/>
    <w:rsid w:val="00000B1E"/>
    <w:rsid w:val="00001AA9"/>
    <w:rsid w:val="000022AA"/>
    <w:rsid w:val="000024B3"/>
    <w:rsid w:val="00003112"/>
    <w:rsid w:val="000068E3"/>
    <w:rsid w:val="000069C5"/>
    <w:rsid w:val="000076AB"/>
    <w:rsid w:val="00007AB0"/>
    <w:rsid w:val="000110B7"/>
    <w:rsid w:val="00012490"/>
    <w:rsid w:val="000133D5"/>
    <w:rsid w:val="00013A7D"/>
    <w:rsid w:val="00013DE9"/>
    <w:rsid w:val="00015193"/>
    <w:rsid w:val="00015F62"/>
    <w:rsid w:val="000175F9"/>
    <w:rsid w:val="00017EBF"/>
    <w:rsid w:val="00020922"/>
    <w:rsid w:val="00023BB6"/>
    <w:rsid w:val="000248ED"/>
    <w:rsid w:val="0002753E"/>
    <w:rsid w:val="000300E5"/>
    <w:rsid w:val="00034BC7"/>
    <w:rsid w:val="00035EB7"/>
    <w:rsid w:val="000468E8"/>
    <w:rsid w:val="00047090"/>
    <w:rsid w:val="00047EF1"/>
    <w:rsid w:val="0005050D"/>
    <w:rsid w:val="00051063"/>
    <w:rsid w:val="00053C31"/>
    <w:rsid w:val="00061DD8"/>
    <w:rsid w:val="00062561"/>
    <w:rsid w:val="00062B38"/>
    <w:rsid w:val="00062B9B"/>
    <w:rsid w:val="0006389D"/>
    <w:rsid w:val="00066880"/>
    <w:rsid w:val="000724B5"/>
    <w:rsid w:val="00073657"/>
    <w:rsid w:val="00075B3F"/>
    <w:rsid w:val="00077098"/>
    <w:rsid w:val="00077D48"/>
    <w:rsid w:val="00082E5B"/>
    <w:rsid w:val="00083C4C"/>
    <w:rsid w:val="00083CF9"/>
    <w:rsid w:val="00086816"/>
    <w:rsid w:val="00091FB5"/>
    <w:rsid w:val="00092032"/>
    <w:rsid w:val="00097AF8"/>
    <w:rsid w:val="000A1348"/>
    <w:rsid w:val="000A24E6"/>
    <w:rsid w:val="000A3B25"/>
    <w:rsid w:val="000A400E"/>
    <w:rsid w:val="000A4A87"/>
    <w:rsid w:val="000A5087"/>
    <w:rsid w:val="000A541B"/>
    <w:rsid w:val="000A6051"/>
    <w:rsid w:val="000B0416"/>
    <w:rsid w:val="000B49E6"/>
    <w:rsid w:val="000B60D8"/>
    <w:rsid w:val="000C1940"/>
    <w:rsid w:val="000C1FCE"/>
    <w:rsid w:val="000C3690"/>
    <w:rsid w:val="000C40E7"/>
    <w:rsid w:val="000C4F88"/>
    <w:rsid w:val="000C6081"/>
    <w:rsid w:val="000C6188"/>
    <w:rsid w:val="000C6ADD"/>
    <w:rsid w:val="000D1F49"/>
    <w:rsid w:val="000D299B"/>
    <w:rsid w:val="000D7202"/>
    <w:rsid w:val="000D7AC3"/>
    <w:rsid w:val="000E0CE7"/>
    <w:rsid w:val="000F0FD6"/>
    <w:rsid w:val="000F12E4"/>
    <w:rsid w:val="000F4996"/>
    <w:rsid w:val="00101B51"/>
    <w:rsid w:val="00105565"/>
    <w:rsid w:val="0011279F"/>
    <w:rsid w:val="00112BE6"/>
    <w:rsid w:val="00115854"/>
    <w:rsid w:val="0012153E"/>
    <w:rsid w:val="00123445"/>
    <w:rsid w:val="001258C2"/>
    <w:rsid w:val="00126213"/>
    <w:rsid w:val="001301AB"/>
    <w:rsid w:val="00132D17"/>
    <w:rsid w:val="00134469"/>
    <w:rsid w:val="0013480A"/>
    <w:rsid w:val="00137C8E"/>
    <w:rsid w:val="001436A7"/>
    <w:rsid w:val="00145942"/>
    <w:rsid w:val="00145A9A"/>
    <w:rsid w:val="00152214"/>
    <w:rsid w:val="001527E0"/>
    <w:rsid w:val="00156308"/>
    <w:rsid w:val="00157393"/>
    <w:rsid w:val="0016588D"/>
    <w:rsid w:val="00167182"/>
    <w:rsid w:val="00171908"/>
    <w:rsid w:val="00174F31"/>
    <w:rsid w:val="0018165D"/>
    <w:rsid w:val="00181D81"/>
    <w:rsid w:val="00183EB0"/>
    <w:rsid w:val="00185BCE"/>
    <w:rsid w:val="00186933"/>
    <w:rsid w:val="00190950"/>
    <w:rsid w:val="0019212E"/>
    <w:rsid w:val="00194127"/>
    <w:rsid w:val="00197950"/>
    <w:rsid w:val="001A0545"/>
    <w:rsid w:val="001A0921"/>
    <w:rsid w:val="001A2534"/>
    <w:rsid w:val="001A52BD"/>
    <w:rsid w:val="001A6EC6"/>
    <w:rsid w:val="001B27BD"/>
    <w:rsid w:val="001B3341"/>
    <w:rsid w:val="001B6E9C"/>
    <w:rsid w:val="001C1687"/>
    <w:rsid w:val="001C1A11"/>
    <w:rsid w:val="001C39E4"/>
    <w:rsid w:val="001C6C0E"/>
    <w:rsid w:val="001C6E47"/>
    <w:rsid w:val="001D29B7"/>
    <w:rsid w:val="001D3732"/>
    <w:rsid w:val="001D38D1"/>
    <w:rsid w:val="001D3FAA"/>
    <w:rsid w:val="001D49CD"/>
    <w:rsid w:val="001D4EBA"/>
    <w:rsid w:val="001D5EE0"/>
    <w:rsid w:val="001D72D0"/>
    <w:rsid w:val="001E079C"/>
    <w:rsid w:val="001E7923"/>
    <w:rsid w:val="001F188F"/>
    <w:rsid w:val="001F25C4"/>
    <w:rsid w:val="001F2D7D"/>
    <w:rsid w:val="001F4527"/>
    <w:rsid w:val="001F64E0"/>
    <w:rsid w:val="001F65BB"/>
    <w:rsid w:val="001F6753"/>
    <w:rsid w:val="001F6FDE"/>
    <w:rsid w:val="002026C3"/>
    <w:rsid w:val="002054C8"/>
    <w:rsid w:val="00205F96"/>
    <w:rsid w:val="00207401"/>
    <w:rsid w:val="00210FBC"/>
    <w:rsid w:val="00211884"/>
    <w:rsid w:val="002118A8"/>
    <w:rsid w:val="00211E05"/>
    <w:rsid w:val="00212548"/>
    <w:rsid w:val="00215AD1"/>
    <w:rsid w:val="00215AF7"/>
    <w:rsid w:val="00215D06"/>
    <w:rsid w:val="00222E94"/>
    <w:rsid w:val="00223546"/>
    <w:rsid w:val="002235B9"/>
    <w:rsid w:val="002244B6"/>
    <w:rsid w:val="00224724"/>
    <w:rsid w:val="00225336"/>
    <w:rsid w:val="002258C4"/>
    <w:rsid w:val="00226C25"/>
    <w:rsid w:val="002270BD"/>
    <w:rsid w:val="00230C51"/>
    <w:rsid w:val="00232AC8"/>
    <w:rsid w:val="00232F52"/>
    <w:rsid w:val="00234302"/>
    <w:rsid w:val="00235953"/>
    <w:rsid w:val="00242669"/>
    <w:rsid w:val="00243D55"/>
    <w:rsid w:val="002452B3"/>
    <w:rsid w:val="002458DC"/>
    <w:rsid w:val="00250E4F"/>
    <w:rsid w:val="00251D36"/>
    <w:rsid w:val="00252CEB"/>
    <w:rsid w:val="00254974"/>
    <w:rsid w:val="0025631D"/>
    <w:rsid w:val="00260A2B"/>
    <w:rsid w:val="0026339C"/>
    <w:rsid w:val="002638E0"/>
    <w:rsid w:val="00265D7F"/>
    <w:rsid w:val="00270DD9"/>
    <w:rsid w:val="00272924"/>
    <w:rsid w:val="002746B7"/>
    <w:rsid w:val="002755F7"/>
    <w:rsid w:val="00281D68"/>
    <w:rsid w:val="0028384A"/>
    <w:rsid w:val="0028449C"/>
    <w:rsid w:val="002951C1"/>
    <w:rsid w:val="002959BF"/>
    <w:rsid w:val="00295CDA"/>
    <w:rsid w:val="0029606A"/>
    <w:rsid w:val="002A0CA8"/>
    <w:rsid w:val="002A602E"/>
    <w:rsid w:val="002B0388"/>
    <w:rsid w:val="002B16FD"/>
    <w:rsid w:val="002B1A1C"/>
    <w:rsid w:val="002B315B"/>
    <w:rsid w:val="002B465A"/>
    <w:rsid w:val="002B548D"/>
    <w:rsid w:val="002B6ECE"/>
    <w:rsid w:val="002C111C"/>
    <w:rsid w:val="002C12C9"/>
    <w:rsid w:val="002C1C6E"/>
    <w:rsid w:val="002C292A"/>
    <w:rsid w:val="002C5D3B"/>
    <w:rsid w:val="002C7962"/>
    <w:rsid w:val="002C79E1"/>
    <w:rsid w:val="002D1977"/>
    <w:rsid w:val="002D5E23"/>
    <w:rsid w:val="002E02DF"/>
    <w:rsid w:val="002E090F"/>
    <w:rsid w:val="002E0B96"/>
    <w:rsid w:val="002E0D8F"/>
    <w:rsid w:val="002E122C"/>
    <w:rsid w:val="002E41A5"/>
    <w:rsid w:val="002E4434"/>
    <w:rsid w:val="002E61F3"/>
    <w:rsid w:val="002F0B70"/>
    <w:rsid w:val="002F0DD3"/>
    <w:rsid w:val="003043B1"/>
    <w:rsid w:val="00304712"/>
    <w:rsid w:val="00307267"/>
    <w:rsid w:val="00310BB4"/>
    <w:rsid w:val="003111FC"/>
    <w:rsid w:val="003116CD"/>
    <w:rsid w:val="00312309"/>
    <w:rsid w:val="00312712"/>
    <w:rsid w:val="00312EA8"/>
    <w:rsid w:val="00314A25"/>
    <w:rsid w:val="0031563E"/>
    <w:rsid w:val="00315815"/>
    <w:rsid w:val="00317747"/>
    <w:rsid w:val="0032072F"/>
    <w:rsid w:val="0032310A"/>
    <w:rsid w:val="003234A9"/>
    <w:rsid w:val="003260C2"/>
    <w:rsid w:val="003270FF"/>
    <w:rsid w:val="00333B32"/>
    <w:rsid w:val="00333B5C"/>
    <w:rsid w:val="00336AB9"/>
    <w:rsid w:val="0034071E"/>
    <w:rsid w:val="00342FF6"/>
    <w:rsid w:val="00347542"/>
    <w:rsid w:val="00347B1A"/>
    <w:rsid w:val="003545A9"/>
    <w:rsid w:val="00354E80"/>
    <w:rsid w:val="00356BDA"/>
    <w:rsid w:val="00356CCC"/>
    <w:rsid w:val="00357BCA"/>
    <w:rsid w:val="00361200"/>
    <w:rsid w:val="003630E5"/>
    <w:rsid w:val="00364C1D"/>
    <w:rsid w:val="003657C2"/>
    <w:rsid w:val="00366CB3"/>
    <w:rsid w:val="00367672"/>
    <w:rsid w:val="003676A9"/>
    <w:rsid w:val="00372C18"/>
    <w:rsid w:val="00373142"/>
    <w:rsid w:val="003739DB"/>
    <w:rsid w:val="003746A0"/>
    <w:rsid w:val="00380398"/>
    <w:rsid w:val="00382471"/>
    <w:rsid w:val="00384345"/>
    <w:rsid w:val="00386126"/>
    <w:rsid w:val="00390A3F"/>
    <w:rsid w:val="003916B5"/>
    <w:rsid w:val="00391A3D"/>
    <w:rsid w:val="00395AEB"/>
    <w:rsid w:val="003961AF"/>
    <w:rsid w:val="003B1184"/>
    <w:rsid w:val="003B1B99"/>
    <w:rsid w:val="003B307B"/>
    <w:rsid w:val="003B4D04"/>
    <w:rsid w:val="003B50BB"/>
    <w:rsid w:val="003B5D12"/>
    <w:rsid w:val="003B75A8"/>
    <w:rsid w:val="003C0542"/>
    <w:rsid w:val="003C066D"/>
    <w:rsid w:val="003C16C0"/>
    <w:rsid w:val="003C1C9E"/>
    <w:rsid w:val="003C5F6F"/>
    <w:rsid w:val="003C7BC4"/>
    <w:rsid w:val="003E05C8"/>
    <w:rsid w:val="003E4E84"/>
    <w:rsid w:val="003E57D4"/>
    <w:rsid w:val="003E638F"/>
    <w:rsid w:val="003E75AF"/>
    <w:rsid w:val="003F2C6C"/>
    <w:rsid w:val="003F37F4"/>
    <w:rsid w:val="0040023E"/>
    <w:rsid w:val="00400305"/>
    <w:rsid w:val="004003B4"/>
    <w:rsid w:val="004014B4"/>
    <w:rsid w:val="004014B8"/>
    <w:rsid w:val="00402728"/>
    <w:rsid w:val="00405309"/>
    <w:rsid w:val="00410606"/>
    <w:rsid w:val="00410D76"/>
    <w:rsid w:val="004115AF"/>
    <w:rsid w:val="004135CA"/>
    <w:rsid w:val="00413614"/>
    <w:rsid w:val="0041615E"/>
    <w:rsid w:val="00420D28"/>
    <w:rsid w:val="00420E0A"/>
    <w:rsid w:val="0042208A"/>
    <w:rsid w:val="004274A4"/>
    <w:rsid w:val="0043064B"/>
    <w:rsid w:val="004318E2"/>
    <w:rsid w:val="00432397"/>
    <w:rsid w:val="00432FB1"/>
    <w:rsid w:val="00436019"/>
    <w:rsid w:val="004403CF"/>
    <w:rsid w:val="004418A1"/>
    <w:rsid w:val="00441F39"/>
    <w:rsid w:val="00442B84"/>
    <w:rsid w:val="00444929"/>
    <w:rsid w:val="00446010"/>
    <w:rsid w:val="00447280"/>
    <w:rsid w:val="004528AD"/>
    <w:rsid w:val="0045589D"/>
    <w:rsid w:val="004569E5"/>
    <w:rsid w:val="00457A6C"/>
    <w:rsid w:val="00457BA5"/>
    <w:rsid w:val="00460C34"/>
    <w:rsid w:val="00461818"/>
    <w:rsid w:val="00462341"/>
    <w:rsid w:val="00463F10"/>
    <w:rsid w:val="00466BCA"/>
    <w:rsid w:val="004671C5"/>
    <w:rsid w:val="0047329E"/>
    <w:rsid w:val="00476351"/>
    <w:rsid w:val="004820B8"/>
    <w:rsid w:val="0048283A"/>
    <w:rsid w:val="00483BAB"/>
    <w:rsid w:val="0048577C"/>
    <w:rsid w:val="00485B6B"/>
    <w:rsid w:val="004873C5"/>
    <w:rsid w:val="00487C67"/>
    <w:rsid w:val="00490BFA"/>
    <w:rsid w:val="00491036"/>
    <w:rsid w:val="00494165"/>
    <w:rsid w:val="004A165E"/>
    <w:rsid w:val="004A1F65"/>
    <w:rsid w:val="004A3E1E"/>
    <w:rsid w:val="004A44AF"/>
    <w:rsid w:val="004A6776"/>
    <w:rsid w:val="004B0CF5"/>
    <w:rsid w:val="004B2016"/>
    <w:rsid w:val="004B4F03"/>
    <w:rsid w:val="004B6006"/>
    <w:rsid w:val="004B6E91"/>
    <w:rsid w:val="004C052D"/>
    <w:rsid w:val="004C30F2"/>
    <w:rsid w:val="004C55CC"/>
    <w:rsid w:val="004D3832"/>
    <w:rsid w:val="004D4510"/>
    <w:rsid w:val="004D4DC9"/>
    <w:rsid w:val="004D7ED1"/>
    <w:rsid w:val="004E07D4"/>
    <w:rsid w:val="004E1BD8"/>
    <w:rsid w:val="004E2FB1"/>
    <w:rsid w:val="004E4DE6"/>
    <w:rsid w:val="004E50C1"/>
    <w:rsid w:val="004F01EC"/>
    <w:rsid w:val="004F1686"/>
    <w:rsid w:val="004F1823"/>
    <w:rsid w:val="004F193C"/>
    <w:rsid w:val="004F1D1F"/>
    <w:rsid w:val="004F27FD"/>
    <w:rsid w:val="004F476A"/>
    <w:rsid w:val="00500958"/>
    <w:rsid w:val="00502C56"/>
    <w:rsid w:val="00503378"/>
    <w:rsid w:val="00503981"/>
    <w:rsid w:val="0050463B"/>
    <w:rsid w:val="00504988"/>
    <w:rsid w:val="00504EB9"/>
    <w:rsid w:val="00506982"/>
    <w:rsid w:val="00510CAD"/>
    <w:rsid w:val="00512E8B"/>
    <w:rsid w:val="00513042"/>
    <w:rsid w:val="00513F21"/>
    <w:rsid w:val="00516658"/>
    <w:rsid w:val="00520908"/>
    <w:rsid w:val="0052123D"/>
    <w:rsid w:val="00522B9C"/>
    <w:rsid w:val="00523FA9"/>
    <w:rsid w:val="00531A65"/>
    <w:rsid w:val="00534DF3"/>
    <w:rsid w:val="00535892"/>
    <w:rsid w:val="0053631D"/>
    <w:rsid w:val="00541231"/>
    <w:rsid w:val="00541804"/>
    <w:rsid w:val="005424B7"/>
    <w:rsid w:val="00542DD4"/>
    <w:rsid w:val="00545C92"/>
    <w:rsid w:val="00547E6E"/>
    <w:rsid w:val="0055268A"/>
    <w:rsid w:val="00555441"/>
    <w:rsid w:val="00556902"/>
    <w:rsid w:val="0055793D"/>
    <w:rsid w:val="00560943"/>
    <w:rsid w:val="00562B8A"/>
    <w:rsid w:val="005637AF"/>
    <w:rsid w:val="00566C7E"/>
    <w:rsid w:val="00570B62"/>
    <w:rsid w:val="00574A94"/>
    <w:rsid w:val="00577F30"/>
    <w:rsid w:val="0058126D"/>
    <w:rsid w:val="005835B0"/>
    <w:rsid w:val="005846EB"/>
    <w:rsid w:val="00585B30"/>
    <w:rsid w:val="00586BCF"/>
    <w:rsid w:val="00592454"/>
    <w:rsid w:val="00592C12"/>
    <w:rsid w:val="00592D2A"/>
    <w:rsid w:val="005940B5"/>
    <w:rsid w:val="005959B5"/>
    <w:rsid w:val="00597350"/>
    <w:rsid w:val="005A6675"/>
    <w:rsid w:val="005B0007"/>
    <w:rsid w:val="005B0BDF"/>
    <w:rsid w:val="005B3467"/>
    <w:rsid w:val="005B4549"/>
    <w:rsid w:val="005B4F77"/>
    <w:rsid w:val="005B569E"/>
    <w:rsid w:val="005B5B55"/>
    <w:rsid w:val="005B5D18"/>
    <w:rsid w:val="005B63C8"/>
    <w:rsid w:val="005C13BB"/>
    <w:rsid w:val="005C6CC4"/>
    <w:rsid w:val="005C6EEF"/>
    <w:rsid w:val="005D20EE"/>
    <w:rsid w:val="005D22A6"/>
    <w:rsid w:val="005D3B35"/>
    <w:rsid w:val="005D7568"/>
    <w:rsid w:val="005E1A29"/>
    <w:rsid w:val="005E751B"/>
    <w:rsid w:val="005E753A"/>
    <w:rsid w:val="005E76BA"/>
    <w:rsid w:val="005F0590"/>
    <w:rsid w:val="005F38DB"/>
    <w:rsid w:val="005F3DE3"/>
    <w:rsid w:val="005F5C99"/>
    <w:rsid w:val="005F60B6"/>
    <w:rsid w:val="005F63FB"/>
    <w:rsid w:val="005F66B7"/>
    <w:rsid w:val="005F7898"/>
    <w:rsid w:val="00600571"/>
    <w:rsid w:val="006017A0"/>
    <w:rsid w:val="00620005"/>
    <w:rsid w:val="00620951"/>
    <w:rsid w:val="0062248B"/>
    <w:rsid w:val="00622E85"/>
    <w:rsid w:val="00623F69"/>
    <w:rsid w:val="00627E85"/>
    <w:rsid w:val="00633A8B"/>
    <w:rsid w:val="006347E4"/>
    <w:rsid w:val="00635388"/>
    <w:rsid w:val="006422A6"/>
    <w:rsid w:val="0064407E"/>
    <w:rsid w:val="0064411C"/>
    <w:rsid w:val="0064469A"/>
    <w:rsid w:val="00647988"/>
    <w:rsid w:val="006542F5"/>
    <w:rsid w:val="00656D23"/>
    <w:rsid w:val="00661240"/>
    <w:rsid w:val="00662A4F"/>
    <w:rsid w:val="00663DD8"/>
    <w:rsid w:val="00664655"/>
    <w:rsid w:val="0066478E"/>
    <w:rsid w:val="00666632"/>
    <w:rsid w:val="006668EF"/>
    <w:rsid w:val="006706ED"/>
    <w:rsid w:val="00670E5B"/>
    <w:rsid w:val="0067140E"/>
    <w:rsid w:val="006715D2"/>
    <w:rsid w:val="00673440"/>
    <w:rsid w:val="00673E42"/>
    <w:rsid w:val="00675FA7"/>
    <w:rsid w:val="00676DC5"/>
    <w:rsid w:val="0068138A"/>
    <w:rsid w:val="006821BE"/>
    <w:rsid w:val="006829F3"/>
    <w:rsid w:val="00683CC4"/>
    <w:rsid w:val="00684183"/>
    <w:rsid w:val="006865C4"/>
    <w:rsid w:val="00687F32"/>
    <w:rsid w:val="0069100E"/>
    <w:rsid w:val="00691EDD"/>
    <w:rsid w:val="00696A7F"/>
    <w:rsid w:val="006A09B5"/>
    <w:rsid w:val="006A1399"/>
    <w:rsid w:val="006A1672"/>
    <w:rsid w:val="006A1783"/>
    <w:rsid w:val="006A36DF"/>
    <w:rsid w:val="006A3ACD"/>
    <w:rsid w:val="006A3FC1"/>
    <w:rsid w:val="006A628D"/>
    <w:rsid w:val="006A6EFA"/>
    <w:rsid w:val="006A783B"/>
    <w:rsid w:val="006B2347"/>
    <w:rsid w:val="006B2ED6"/>
    <w:rsid w:val="006B5DFE"/>
    <w:rsid w:val="006B5E14"/>
    <w:rsid w:val="006B7DFC"/>
    <w:rsid w:val="006C034E"/>
    <w:rsid w:val="006C209B"/>
    <w:rsid w:val="006C6AD0"/>
    <w:rsid w:val="006C6D94"/>
    <w:rsid w:val="006C7B09"/>
    <w:rsid w:val="006D2D2A"/>
    <w:rsid w:val="006D57FE"/>
    <w:rsid w:val="006D61E5"/>
    <w:rsid w:val="006E3818"/>
    <w:rsid w:val="006E43D5"/>
    <w:rsid w:val="006E45AC"/>
    <w:rsid w:val="006E6922"/>
    <w:rsid w:val="006F01F0"/>
    <w:rsid w:val="006F1B76"/>
    <w:rsid w:val="006F2C3B"/>
    <w:rsid w:val="006F38A2"/>
    <w:rsid w:val="006F484E"/>
    <w:rsid w:val="006F4A6F"/>
    <w:rsid w:val="006F59CE"/>
    <w:rsid w:val="006F6029"/>
    <w:rsid w:val="007024BE"/>
    <w:rsid w:val="00704DBA"/>
    <w:rsid w:val="007053A3"/>
    <w:rsid w:val="00705E5E"/>
    <w:rsid w:val="00707315"/>
    <w:rsid w:val="0071278C"/>
    <w:rsid w:val="0071288B"/>
    <w:rsid w:val="00717151"/>
    <w:rsid w:val="00721FC4"/>
    <w:rsid w:val="00724AB1"/>
    <w:rsid w:val="007262D5"/>
    <w:rsid w:val="00731720"/>
    <w:rsid w:val="00732F3E"/>
    <w:rsid w:val="007333AE"/>
    <w:rsid w:val="00733EA4"/>
    <w:rsid w:val="007354FC"/>
    <w:rsid w:val="00736D72"/>
    <w:rsid w:val="0073720E"/>
    <w:rsid w:val="00737CC1"/>
    <w:rsid w:val="00741C3D"/>
    <w:rsid w:val="00744FEB"/>
    <w:rsid w:val="00745191"/>
    <w:rsid w:val="007459F3"/>
    <w:rsid w:val="007467F9"/>
    <w:rsid w:val="00750EFD"/>
    <w:rsid w:val="00751D46"/>
    <w:rsid w:val="00753803"/>
    <w:rsid w:val="007565E9"/>
    <w:rsid w:val="00756AED"/>
    <w:rsid w:val="00756B2E"/>
    <w:rsid w:val="00763601"/>
    <w:rsid w:val="00765BAA"/>
    <w:rsid w:val="007707C8"/>
    <w:rsid w:val="0077292C"/>
    <w:rsid w:val="00772CE4"/>
    <w:rsid w:val="00773F7A"/>
    <w:rsid w:val="00775ED4"/>
    <w:rsid w:val="007812D4"/>
    <w:rsid w:val="00781EA4"/>
    <w:rsid w:val="007826CF"/>
    <w:rsid w:val="00783CDE"/>
    <w:rsid w:val="00786B70"/>
    <w:rsid w:val="0078788B"/>
    <w:rsid w:val="00790974"/>
    <w:rsid w:val="00792277"/>
    <w:rsid w:val="0079261F"/>
    <w:rsid w:val="00797722"/>
    <w:rsid w:val="007A47AF"/>
    <w:rsid w:val="007A5701"/>
    <w:rsid w:val="007A5D7B"/>
    <w:rsid w:val="007B2E3F"/>
    <w:rsid w:val="007B2F1B"/>
    <w:rsid w:val="007B40F9"/>
    <w:rsid w:val="007B76BF"/>
    <w:rsid w:val="007C35AB"/>
    <w:rsid w:val="007C7896"/>
    <w:rsid w:val="007C7F06"/>
    <w:rsid w:val="007D3AA4"/>
    <w:rsid w:val="007D455C"/>
    <w:rsid w:val="007D50F1"/>
    <w:rsid w:val="007E0A47"/>
    <w:rsid w:val="007E16DE"/>
    <w:rsid w:val="007E3D61"/>
    <w:rsid w:val="007E4409"/>
    <w:rsid w:val="007E4656"/>
    <w:rsid w:val="007E5E6A"/>
    <w:rsid w:val="007E6AED"/>
    <w:rsid w:val="007F1DE4"/>
    <w:rsid w:val="007F35C5"/>
    <w:rsid w:val="007F4814"/>
    <w:rsid w:val="007F58AD"/>
    <w:rsid w:val="007F676C"/>
    <w:rsid w:val="0080011D"/>
    <w:rsid w:val="00800821"/>
    <w:rsid w:val="00800B4F"/>
    <w:rsid w:val="00803823"/>
    <w:rsid w:val="008045F1"/>
    <w:rsid w:val="00805322"/>
    <w:rsid w:val="0080679B"/>
    <w:rsid w:val="00811081"/>
    <w:rsid w:val="008110E2"/>
    <w:rsid w:val="008112B4"/>
    <w:rsid w:val="008140EE"/>
    <w:rsid w:val="00814AEF"/>
    <w:rsid w:val="0081793C"/>
    <w:rsid w:val="008179B8"/>
    <w:rsid w:val="00824FDC"/>
    <w:rsid w:val="00827D2F"/>
    <w:rsid w:val="00832E46"/>
    <w:rsid w:val="00835419"/>
    <w:rsid w:val="00836176"/>
    <w:rsid w:val="00836F75"/>
    <w:rsid w:val="008371C9"/>
    <w:rsid w:val="00840203"/>
    <w:rsid w:val="0084031F"/>
    <w:rsid w:val="00842D39"/>
    <w:rsid w:val="00844173"/>
    <w:rsid w:val="00844A75"/>
    <w:rsid w:val="00844BEF"/>
    <w:rsid w:val="00846F06"/>
    <w:rsid w:val="00847BFC"/>
    <w:rsid w:val="0086132F"/>
    <w:rsid w:val="00861A2E"/>
    <w:rsid w:val="00862B9D"/>
    <w:rsid w:val="008644B7"/>
    <w:rsid w:val="00864D11"/>
    <w:rsid w:val="00865845"/>
    <w:rsid w:val="00870F11"/>
    <w:rsid w:val="008741C4"/>
    <w:rsid w:val="00874859"/>
    <w:rsid w:val="00874D49"/>
    <w:rsid w:val="008761F2"/>
    <w:rsid w:val="008805F5"/>
    <w:rsid w:val="008836D2"/>
    <w:rsid w:val="00883B2A"/>
    <w:rsid w:val="008859BA"/>
    <w:rsid w:val="00886722"/>
    <w:rsid w:val="0088778C"/>
    <w:rsid w:val="008911DB"/>
    <w:rsid w:val="00891B9E"/>
    <w:rsid w:val="00892E60"/>
    <w:rsid w:val="00894170"/>
    <w:rsid w:val="00897BAF"/>
    <w:rsid w:val="008A1BDB"/>
    <w:rsid w:val="008A2520"/>
    <w:rsid w:val="008A4F65"/>
    <w:rsid w:val="008A5313"/>
    <w:rsid w:val="008B3780"/>
    <w:rsid w:val="008B379D"/>
    <w:rsid w:val="008B3D9D"/>
    <w:rsid w:val="008B77A5"/>
    <w:rsid w:val="008C1FE4"/>
    <w:rsid w:val="008C25B2"/>
    <w:rsid w:val="008C714B"/>
    <w:rsid w:val="008D1909"/>
    <w:rsid w:val="008D255B"/>
    <w:rsid w:val="008D2916"/>
    <w:rsid w:val="008D6EF0"/>
    <w:rsid w:val="008E05F0"/>
    <w:rsid w:val="008E0D91"/>
    <w:rsid w:val="008E4AF8"/>
    <w:rsid w:val="008E6275"/>
    <w:rsid w:val="008F0C46"/>
    <w:rsid w:val="008F0F22"/>
    <w:rsid w:val="008F10C2"/>
    <w:rsid w:val="008F2E58"/>
    <w:rsid w:val="008F4874"/>
    <w:rsid w:val="008F487C"/>
    <w:rsid w:val="008F5E6E"/>
    <w:rsid w:val="008F6617"/>
    <w:rsid w:val="008F75DF"/>
    <w:rsid w:val="0090511A"/>
    <w:rsid w:val="009066AC"/>
    <w:rsid w:val="00907C6E"/>
    <w:rsid w:val="009127D4"/>
    <w:rsid w:val="00912A77"/>
    <w:rsid w:val="009147A6"/>
    <w:rsid w:val="00915B88"/>
    <w:rsid w:val="00915C01"/>
    <w:rsid w:val="0091729E"/>
    <w:rsid w:val="009205A2"/>
    <w:rsid w:val="009211B3"/>
    <w:rsid w:val="0092292B"/>
    <w:rsid w:val="0092334F"/>
    <w:rsid w:val="00923764"/>
    <w:rsid w:val="009243BF"/>
    <w:rsid w:val="009247B4"/>
    <w:rsid w:val="00927B29"/>
    <w:rsid w:val="00927C92"/>
    <w:rsid w:val="009360E1"/>
    <w:rsid w:val="009416DC"/>
    <w:rsid w:val="00941FDA"/>
    <w:rsid w:val="00944E6F"/>
    <w:rsid w:val="00946292"/>
    <w:rsid w:val="009462E3"/>
    <w:rsid w:val="0094770B"/>
    <w:rsid w:val="009510E0"/>
    <w:rsid w:val="00953F95"/>
    <w:rsid w:val="009564C7"/>
    <w:rsid w:val="00956C35"/>
    <w:rsid w:val="00957215"/>
    <w:rsid w:val="00960ACA"/>
    <w:rsid w:val="00960D94"/>
    <w:rsid w:val="00962D26"/>
    <w:rsid w:val="0096520E"/>
    <w:rsid w:val="009666A8"/>
    <w:rsid w:val="00970BA2"/>
    <w:rsid w:val="0097150E"/>
    <w:rsid w:val="00971F6F"/>
    <w:rsid w:val="00975480"/>
    <w:rsid w:val="00975C46"/>
    <w:rsid w:val="00975C51"/>
    <w:rsid w:val="009772BE"/>
    <w:rsid w:val="009815DF"/>
    <w:rsid w:val="009852D5"/>
    <w:rsid w:val="009854A3"/>
    <w:rsid w:val="009912DA"/>
    <w:rsid w:val="009939DB"/>
    <w:rsid w:val="00995F16"/>
    <w:rsid w:val="00996390"/>
    <w:rsid w:val="009963E7"/>
    <w:rsid w:val="009968BC"/>
    <w:rsid w:val="009A28E1"/>
    <w:rsid w:val="009A4BCD"/>
    <w:rsid w:val="009A722B"/>
    <w:rsid w:val="009B221D"/>
    <w:rsid w:val="009B453D"/>
    <w:rsid w:val="009B4D75"/>
    <w:rsid w:val="009B6A0E"/>
    <w:rsid w:val="009B74AC"/>
    <w:rsid w:val="009C0509"/>
    <w:rsid w:val="009C2CE8"/>
    <w:rsid w:val="009C72D6"/>
    <w:rsid w:val="009D0704"/>
    <w:rsid w:val="009D7950"/>
    <w:rsid w:val="009D7F1F"/>
    <w:rsid w:val="009D7F4A"/>
    <w:rsid w:val="009E1494"/>
    <w:rsid w:val="009E4564"/>
    <w:rsid w:val="009E4B54"/>
    <w:rsid w:val="009E7094"/>
    <w:rsid w:val="009F01D0"/>
    <w:rsid w:val="009F0F7E"/>
    <w:rsid w:val="009F0FB6"/>
    <w:rsid w:val="009F20AB"/>
    <w:rsid w:val="009F27F2"/>
    <w:rsid w:val="009F31D7"/>
    <w:rsid w:val="009F44FD"/>
    <w:rsid w:val="009F687D"/>
    <w:rsid w:val="009F6D71"/>
    <w:rsid w:val="00A004B2"/>
    <w:rsid w:val="00A027E0"/>
    <w:rsid w:val="00A035A4"/>
    <w:rsid w:val="00A05D25"/>
    <w:rsid w:val="00A0635C"/>
    <w:rsid w:val="00A07909"/>
    <w:rsid w:val="00A12C09"/>
    <w:rsid w:val="00A137CE"/>
    <w:rsid w:val="00A141B1"/>
    <w:rsid w:val="00A147FE"/>
    <w:rsid w:val="00A169DD"/>
    <w:rsid w:val="00A2109F"/>
    <w:rsid w:val="00A21289"/>
    <w:rsid w:val="00A24DED"/>
    <w:rsid w:val="00A26266"/>
    <w:rsid w:val="00A26F59"/>
    <w:rsid w:val="00A27A27"/>
    <w:rsid w:val="00A27FAD"/>
    <w:rsid w:val="00A302C2"/>
    <w:rsid w:val="00A3115B"/>
    <w:rsid w:val="00A33F5D"/>
    <w:rsid w:val="00A35F76"/>
    <w:rsid w:val="00A40236"/>
    <w:rsid w:val="00A42696"/>
    <w:rsid w:val="00A46CBB"/>
    <w:rsid w:val="00A504B0"/>
    <w:rsid w:val="00A52819"/>
    <w:rsid w:val="00A5371D"/>
    <w:rsid w:val="00A564A5"/>
    <w:rsid w:val="00A57228"/>
    <w:rsid w:val="00A61A79"/>
    <w:rsid w:val="00A64E8E"/>
    <w:rsid w:val="00A6600C"/>
    <w:rsid w:val="00A7106F"/>
    <w:rsid w:val="00A73175"/>
    <w:rsid w:val="00A77A0B"/>
    <w:rsid w:val="00A77E88"/>
    <w:rsid w:val="00A825A1"/>
    <w:rsid w:val="00A825DC"/>
    <w:rsid w:val="00A832D0"/>
    <w:rsid w:val="00A84EFD"/>
    <w:rsid w:val="00A8557B"/>
    <w:rsid w:val="00A85C9B"/>
    <w:rsid w:val="00A90D1A"/>
    <w:rsid w:val="00A94205"/>
    <w:rsid w:val="00A96FBA"/>
    <w:rsid w:val="00AA413F"/>
    <w:rsid w:val="00AB108C"/>
    <w:rsid w:val="00AB121A"/>
    <w:rsid w:val="00AB473C"/>
    <w:rsid w:val="00AC1FD1"/>
    <w:rsid w:val="00AC24EA"/>
    <w:rsid w:val="00AC43CA"/>
    <w:rsid w:val="00AC7A6D"/>
    <w:rsid w:val="00AC7D3D"/>
    <w:rsid w:val="00AD7947"/>
    <w:rsid w:val="00AE12DC"/>
    <w:rsid w:val="00AE1DD1"/>
    <w:rsid w:val="00AE2B0B"/>
    <w:rsid w:val="00AE7A4E"/>
    <w:rsid w:val="00AF0A08"/>
    <w:rsid w:val="00AF1DC9"/>
    <w:rsid w:val="00AF3638"/>
    <w:rsid w:val="00AF76A7"/>
    <w:rsid w:val="00B0077D"/>
    <w:rsid w:val="00B00BA8"/>
    <w:rsid w:val="00B06B9C"/>
    <w:rsid w:val="00B103D5"/>
    <w:rsid w:val="00B11B96"/>
    <w:rsid w:val="00B16897"/>
    <w:rsid w:val="00B17A98"/>
    <w:rsid w:val="00B229F0"/>
    <w:rsid w:val="00B233B5"/>
    <w:rsid w:val="00B234D4"/>
    <w:rsid w:val="00B25F06"/>
    <w:rsid w:val="00B33397"/>
    <w:rsid w:val="00B3483B"/>
    <w:rsid w:val="00B35699"/>
    <w:rsid w:val="00B378EC"/>
    <w:rsid w:val="00B41E7C"/>
    <w:rsid w:val="00B42BAE"/>
    <w:rsid w:val="00B43688"/>
    <w:rsid w:val="00B464B9"/>
    <w:rsid w:val="00B478A8"/>
    <w:rsid w:val="00B5164A"/>
    <w:rsid w:val="00B51E42"/>
    <w:rsid w:val="00B55635"/>
    <w:rsid w:val="00B63792"/>
    <w:rsid w:val="00B67691"/>
    <w:rsid w:val="00B751E5"/>
    <w:rsid w:val="00B77DAE"/>
    <w:rsid w:val="00B80D83"/>
    <w:rsid w:val="00B81066"/>
    <w:rsid w:val="00B81837"/>
    <w:rsid w:val="00B85763"/>
    <w:rsid w:val="00B864FA"/>
    <w:rsid w:val="00B878B9"/>
    <w:rsid w:val="00B9015C"/>
    <w:rsid w:val="00B90544"/>
    <w:rsid w:val="00B91D48"/>
    <w:rsid w:val="00B93AF0"/>
    <w:rsid w:val="00B95E56"/>
    <w:rsid w:val="00BA2B39"/>
    <w:rsid w:val="00BA4BD4"/>
    <w:rsid w:val="00BA4C41"/>
    <w:rsid w:val="00BA76DE"/>
    <w:rsid w:val="00BB0AC7"/>
    <w:rsid w:val="00BB1C4D"/>
    <w:rsid w:val="00BB2CA0"/>
    <w:rsid w:val="00BB5745"/>
    <w:rsid w:val="00BB5A98"/>
    <w:rsid w:val="00BB6C61"/>
    <w:rsid w:val="00BB7EF5"/>
    <w:rsid w:val="00BC122D"/>
    <w:rsid w:val="00BC341A"/>
    <w:rsid w:val="00BC5473"/>
    <w:rsid w:val="00BC696D"/>
    <w:rsid w:val="00BD45A5"/>
    <w:rsid w:val="00BD564F"/>
    <w:rsid w:val="00BD5C69"/>
    <w:rsid w:val="00BD78CD"/>
    <w:rsid w:val="00BE3EFE"/>
    <w:rsid w:val="00BE5E91"/>
    <w:rsid w:val="00BF28C2"/>
    <w:rsid w:val="00BF53E8"/>
    <w:rsid w:val="00BF59F5"/>
    <w:rsid w:val="00BF6241"/>
    <w:rsid w:val="00C04D6D"/>
    <w:rsid w:val="00C05526"/>
    <w:rsid w:val="00C05A99"/>
    <w:rsid w:val="00C10928"/>
    <w:rsid w:val="00C1108B"/>
    <w:rsid w:val="00C1398B"/>
    <w:rsid w:val="00C13995"/>
    <w:rsid w:val="00C145FF"/>
    <w:rsid w:val="00C14A98"/>
    <w:rsid w:val="00C178CB"/>
    <w:rsid w:val="00C208FD"/>
    <w:rsid w:val="00C20BC5"/>
    <w:rsid w:val="00C21A2E"/>
    <w:rsid w:val="00C244EA"/>
    <w:rsid w:val="00C25806"/>
    <w:rsid w:val="00C275B8"/>
    <w:rsid w:val="00C27B16"/>
    <w:rsid w:val="00C27C64"/>
    <w:rsid w:val="00C27D3B"/>
    <w:rsid w:val="00C32E3B"/>
    <w:rsid w:val="00C32E52"/>
    <w:rsid w:val="00C34563"/>
    <w:rsid w:val="00C40663"/>
    <w:rsid w:val="00C40EF0"/>
    <w:rsid w:val="00C412F1"/>
    <w:rsid w:val="00C417DB"/>
    <w:rsid w:val="00C422AD"/>
    <w:rsid w:val="00C424C3"/>
    <w:rsid w:val="00C4406F"/>
    <w:rsid w:val="00C45A83"/>
    <w:rsid w:val="00C45A9F"/>
    <w:rsid w:val="00C45D80"/>
    <w:rsid w:val="00C50D4A"/>
    <w:rsid w:val="00C510B3"/>
    <w:rsid w:val="00C519E9"/>
    <w:rsid w:val="00C52131"/>
    <w:rsid w:val="00C5327D"/>
    <w:rsid w:val="00C54ABC"/>
    <w:rsid w:val="00C55D5F"/>
    <w:rsid w:val="00C61B81"/>
    <w:rsid w:val="00C65E8D"/>
    <w:rsid w:val="00C662B0"/>
    <w:rsid w:val="00C67FE1"/>
    <w:rsid w:val="00C724C4"/>
    <w:rsid w:val="00C75584"/>
    <w:rsid w:val="00C7789E"/>
    <w:rsid w:val="00C805D4"/>
    <w:rsid w:val="00C86C4E"/>
    <w:rsid w:val="00C8725B"/>
    <w:rsid w:val="00C875A5"/>
    <w:rsid w:val="00C91966"/>
    <w:rsid w:val="00C93327"/>
    <w:rsid w:val="00C93633"/>
    <w:rsid w:val="00C93CC0"/>
    <w:rsid w:val="00C973BB"/>
    <w:rsid w:val="00CA2880"/>
    <w:rsid w:val="00CA3EA9"/>
    <w:rsid w:val="00CA573E"/>
    <w:rsid w:val="00CA5AA8"/>
    <w:rsid w:val="00CA5FC1"/>
    <w:rsid w:val="00CB0E4C"/>
    <w:rsid w:val="00CB24E3"/>
    <w:rsid w:val="00CB752C"/>
    <w:rsid w:val="00CB7AF0"/>
    <w:rsid w:val="00CC61DA"/>
    <w:rsid w:val="00CC7136"/>
    <w:rsid w:val="00CD01FF"/>
    <w:rsid w:val="00CD5948"/>
    <w:rsid w:val="00CD5BDF"/>
    <w:rsid w:val="00CD5DC2"/>
    <w:rsid w:val="00CD65EE"/>
    <w:rsid w:val="00CE1A76"/>
    <w:rsid w:val="00CE6333"/>
    <w:rsid w:val="00CF0DEE"/>
    <w:rsid w:val="00CF2614"/>
    <w:rsid w:val="00CF2A85"/>
    <w:rsid w:val="00CF3BAC"/>
    <w:rsid w:val="00CF3E1D"/>
    <w:rsid w:val="00CF3FDD"/>
    <w:rsid w:val="00CF639C"/>
    <w:rsid w:val="00D03223"/>
    <w:rsid w:val="00D062A0"/>
    <w:rsid w:val="00D102CA"/>
    <w:rsid w:val="00D13BAF"/>
    <w:rsid w:val="00D17395"/>
    <w:rsid w:val="00D2119F"/>
    <w:rsid w:val="00D23C2B"/>
    <w:rsid w:val="00D26673"/>
    <w:rsid w:val="00D26D64"/>
    <w:rsid w:val="00D31DB8"/>
    <w:rsid w:val="00D31F31"/>
    <w:rsid w:val="00D31FE3"/>
    <w:rsid w:val="00D3489F"/>
    <w:rsid w:val="00D37B0E"/>
    <w:rsid w:val="00D401A5"/>
    <w:rsid w:val="00D40B33"/>
    <w:rsid w:val="00D41C63"/>
    <w:rsid w:val="00D45896"/>
    <w:rsid w:val="00D50FD4"/>
    <w:rsid w:val="00D52AD4"/>
    <w:rsid w:val="00D5340F"/>
    <w:rsid w:val="00D53D6F"/>
    <w:rsid w:val="00D54AD0"/>
    <w:rsid w:val="00D54B88"/>
    <w:rsid w:val="00D54D13"/>
    <w:rsid w:val="00D556E3"/>
    <w:rsid w:val="00D601E5"/>
    <w:rsid w:val="00D61172"/>
    <w:rsid w:val="00D62695"/>
    <w:rsid w:val="00D66E08"/>
    <w:rsid w:val="00D70435"/>
    <w:rsid w:val="00D71C9C"/>
    <w:rsid w:val="00D748F3"/>
    <w:rsid w:val="00D77D3A"/>
    <w:rsid w:val="00D82015"/>
    <w:rsid w:val="00D83AAF"/>
    <w:rsid w:val="00D8424A"/>
    <w:rsid w:val="00D844C7"/>
    <w:rsid w:val="00D8623A"/>
    <w:rsid w:val="00D91B53"/>
    <w:rsid w:val="00D91BA7"/>
    <w:rsid w:val="00D91C9D"/>
    <w:rsid w:val="00D92AEA"/>
    <w:rsid w:val="00D93F8C"/>
    <w:rsid w:val="00D97E1E"/>
    <w:rsid w:val="00DA3423"/>
    <w:rsid w:val="00DB4C3A"/>
    <w:rsid w:val="00DB7284"/>
    <w:rsid w:val="00DB7D98"/>
    <w:rsid w:val="00DB7E91"/>
    <w:rsid w:val="00DC19B7"/>
    <w:rsid w:val="00DC2C26"/>
    <w:rsid w:val="00DC4240"/>
    <w:rsid w:val="00DC6B5F"/>
    <w:rsid w:val="00DC6E7B"/>
    <w:rsid w:val="00DC78D3"/>
    <w:rsid w:val="00DC7A03"/>
    <w:rsid w:val="00DD0BA2"/>
    <w:rsid w:val="00DD1D3F"/>
    <w:rsid w:val="00DD23F6"/>
    <w:rsid w:val="00DD39BA"/>
    <w:rsid w:val="00DD4D8E"/>
    <w:rsid w:val="00DD635C"/>
    <w:rsid w:val="00DD6B3A"/>
    <w:rsid w:val="00DE2375"/>
    <w:rsid w:val="00DE3E46"/>
    <w:rsid w:val="00DE5B7B"/>
    <w:rsid w:val="00DF1077"/>
    <w:rsid w:val="00DF4C0B"/>
    <w:rsid w:val="00DF5E8C"/>
    <w:rsid w:val="00DF65AF"/>
    <w:rsid w:val="00E0245C"/>
    <w:rsid w:val="00E02895"/>
    <w:rsid w:val="00E110D9"/>
    <w:rsid w:val="00E112EC"/>
    <w:rsid w:val="00E133FB"/>
    <w:rsid w:val="00E13831"/>
    <w:rsid w:val="00E173FA"/>
    <w:rsid w:val="00E17779"/>
    <w:rsid w:val="00E17A3F"/>
    <w:rsid w:val="00E200E5"/>
    <w:rsid w:val="00E22DF9"/>
    <w:rsid w:val="00E239EC"/>
    <w:rsid w:val="00E265A6"/>
    <w:rsid w:val="00E2688A"/>
    <w:rsid w:val="00E27244"/>
    <w:rsid w:val="00E36FBD"/>
    <w:rsid w:val="00E377F7"/>
    <w:rsid w:val="00E37876"/>
    <w:rsid w:val="00E40966"/>
    <w:rsid w:val="00E41D12"/>
    <w:rsid w:val="00E423AD"/>
    <w:rsid w:val="00E5339A"/>
    <w:rsid w:val="00E56AC4"/>
    <w:rsid w:val="00E618B6"/>
    <w:rsid w:val="00E63184"/>
    <w:rsid w:val="00E71BE9"/>
    <w:rsid w:val="00E72C7C"/>
    <w:rsid w:val="00E737D6"/>
    <w:rsid w:val="00E73B19"/>
    <w:rsid w:val="00E810ED"/>
    <w:rsid w:val="00E87BE0"/>
    <w:rsid w:val="00E90151"/>
    <w:rsid w:val="00E93C44"/>
    <w:rsid w:val="00E972EA"/>
    <w:rsid w:val="00E977A4"/>
    <w:rsid w:val="00EA0414"/>
    <w:rsid w:val="00EA0A0C"/>
    <w:rsid w:val="00EA18E1"/>
    <w:rsid w:val="00EA2510"/>
    <w:rsid w:val="00EA2539"/>
    <w:rsid w:val="00EA5340"/>
    <w:rsid w:val="00EA63B7"/>
    <w:rsid w:val="00EA665D"/>
    <w:rsid w:val="00EB3272"/>
    <w:rsid w:val="00EB58BA"/>
    <w:rsid w:val="00EC153E"/>
    <w:rsid w:val="00EC2569"/>
    <w:rsid w:val="00EC6290"/>
    <w:rsid w:val="00ED07B1"/>
    <w:rsid w:val="00ED102A"/>
    <w:rsid w:val="00ED1484"/>
    <w:rsid w:val="00ED2C81"/>
    <w:rsid w:val="00ED3590"/>
    <w:rsid w:val="00ED4B2A"/>
    <w:rsid w:val="00ED60AA"/>
    <w:rsid w:val="00ED65C7"/>
    <w:rsid w:val="00ED6767"/>
    <w:rsid w:val="00ED7CCA"/>
    <w:rsid w:val="00EE388E"/>
    <w:rsid w:val="00EE5617"/>
    <w:rsid w:val="00EE69B7"/>
    <w:rsid w:val="00EF022C"/>
    <w:rsid w:val="00EF193D"/>
    <w:rsid w:val="00EF3B27"/>
    <w:rsid w:val="00EF5A8D"/>
    <w:rsid w:val="00EF6573"/>
    <w:rsid w:val="00F056B1"/>
    <w:rsid w:val="00F06651"/>
    <w:rsid w:val="00F07400"/>
    <w:rsid w:val="00F156B7"/>
    <w:rsid w:val="00F16E32"/>
    <w:rsid w:val="00F207A5"/>
    <w:rsid w:val="00F21AE1"/>
    <w:rsid w:val="00F21C35"/>
    <w:rsid w:val="00F229D7"/>
    <w:rsid w:val="00F24867"/>
    <w:rsid w:val="00F3527A"/>
    <w:rsid w:val="00F3596C"/>
    <w:rsid w:val="00F35CD0"/>
    <w:rsid w:val="00F36AC8"/>
    <w:rsid w:val="00F36DB7"/>
    <w:rsid w:val="00F404E2"/>
    <w:rsid w:val="00F43509"/>
    <w:rsid w:val="00F4577C"/>
    <w:rsid w:val="00F464BF"/>
    <w:rsid w:val="00F54887"/>
    <w:rsid w:val="00F55996"/>
    <w:rsid w:val="00F55D83"/>
    <w:rsid w:val="00F608D4"/>
    <w:rsid w:val="00F6270F"/>
    <w:rsid w:val="00F6409D"/>
    <w:rsid w:val="00F664A8"/>
    <w:rsid w:val="00F6715E"/>
    <w:rsid w:val="00F70D3E"/>
    <w:rsid w:val="00F72261"/>
    <w:rsid w:val="00F76BE8"/>
    <w:rsid w:val="00F80B07"/>
    <w:rsid w:val="00F81944"/>
    <w:rsid w:val="00F87267"/>
    <w:rsid w:val="00F87474"/>
    <w:rsid w:val="00F91114"/>
    <w:rsid w:val="00F91592"/>
    <w:rsid w:val="00F92476"/>
    <w:rsid w:val="00F92AE6"/>
    <w:rsid w:val="00F93457"/>
    <w:rsid w:val="00F95B4C"/>
    <w:rsid w:val="00FA1572"/>
    <w:rsid w:val="00FA2A4E"/>
    <w:rsid w:val="00FA357F"/>
    <w:rsid w:val="00FA3D28"/>
    <w:rsid w:val="00FA404B"/>
    <w:rsid w:val="00FA4111"/>
    <w:rsid w:val="00FA43B4"/>
    <w:rsid w:val="00FB0E27"/>
    <w:rsid w:val="00FB1347"/>
    <w:rsid w:val="00FB1D87"/>
    <w:rsid w:val="00FB4D76"/>
    <w:rsid w:val="00FB4FC2"/>
    <w:rsid w:val="00FC2D7E"/>
    <w:rsid w:val="00FC341C"/>
    <w:rsid w:val="00FC4677"/>
    <w:rsid w:val="00FD40BE"/>
    <w:rsid w:val="00FD4C6E"/>
    <w:rsid w:val="00FD5BAE"/>
    <w:rsid w:val="00FD66C0"/>
    <w:rsid w:val="00FE0515"/>
    <w:rsid w:val="00FE36C8"/>
    <w:rsid w:val="00FE518C"/>
    <w:rsid w:val="00FE614C"/>
    <w:rsid w:val="00FE67B2"/>
    <w:rsid w:val="00FE7DAD"/>
    <w:rsid w:val="00FF2081"/>
    <w:rsid w:val="00FF2F05"/>
    <w:rsid w:val="00FF3241"/>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a807"/>
    </o:shapedefaults>
    <o:shapelayout v:ext="edit">
      <o:idmap v:ext="edit" data="1"/>
    </o:shapelayout>
  </w:shapeDefaults>
  <w:decimalSymbol w:val=","/>
  <w:listSeparator w:val=";"/>
  <w15:chartTrackingRefBased/>
  <w15:docId w15:val="{90AE6FA6-A1B9-417F-B377-65E86A464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44"/>
    <w:pPr>
      <w:spacing w:after="160" w:line="259" w:lineRule="auto"/>
    </w:pPr>
    <w:rPr>
      <w:sz w:val="22"/>
      <w:szCs w:val="22"/>
      <w:lang w:eastAsia="en-US"/>
    </w:rPr>
  </w:style>
  <w:style w:type="paragraph" w:styleId="Ttulo1">
    <w:name w:val="heading 1"/>
    <w:basedOn w:val="Normal"/>
    <w:next w:val="Normal"/>
    <w:link w:val="Ttulo1Car"/>
    <w:uiPriority w:val="9"/>
    <w:qFormat/>
    <w:rsid w:val="005D20EE"/>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rsid w:val="005D20EE"/>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
    <w:qFormat/>
    <w:rsid w:val="005D20EE"/>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
    <w:qFormat/>
    <w:rsid w:val="005D20EE"/>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
    <w:qFormat/>
    <w:rsid w:val="005D20EE"/>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
    <w:qFormat/>
    <w:rsid w:val="005D20EE"/>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
    <w:qFormat/>
    <w:rsid w:val="005D20EE"/>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
    <w:qFormat/>
    <w:rsid w:val="005D20EE"/>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
    <w:qFormat/>
    <w:rsid w:val="005D20EE"/>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apítulo,Subtitulo1,figuras cap 5,TEXTOO,Lista vistosa - Énfasis 11,Javier Titulo 2 tesis,Graficos,TITULOS PRINCIPALES,reducira,Fundamentacion,Iz - Párrafo de lista,Sivsa Parrafo,Titulo de Fígura,List Paragraph,Bulleted List,titulo"/>
    <w:basedOn w:val="Normal"/>
    <w:link w:val="PrrafodelistaCar"/>
    <w:uiPriority w:val="34"/>
    <w:qFormat/>
    <w:rsid w:val="00444929"/>
    <w:pPr>
      <w:ind w:left="720"/>
      <w:contextualSpacing/>
    </w:pPr>
  </w:style>
  <w:style w:type="character" w:styleId="Refdecomentario">
    <w:name w:val="annotation reference"/>
    <w:uiPriority w:val="99"/>
    <w:semiHidden/>
    <w:unhideWhenUsed/>
    <w:rsid w:val="009247B4"/>
    <w:rPr>
      <w:sz w:val="16"/>
      <w:szCs w:val="16"/>
    </w:rPr>
  </w:style>
  <w:style w:type="paragraph" w:styleId="Textocomentario">
    <w:name w:val="annotation text"/>
    <w:basedOn w:val="Normal"/>
    <w:link w:val="TextocomentarioCar"/>
    <w:uiPriority w:val="99"/>
    <w:unhideWhenUsed/>
    <w:rsid w:val="009247B4"/>
    <w:pPr>
      <w:spacing w:line="240" w:lineRule="auto"/>
    </w:pPr>
    <w:rPr>
      <w:sz w:val="20"/>
      <w:szCs w:val="20"/>
    </w:rPr>
  </w:style>
  <w:style w:type="character" w:customStyle="1" w:styleId="TextocomentarioCar">
    <w:name w:val="Texto comentario Car"/>
    <w:link w:val="Textocomentario"/>
    <w:uiPriority w:val="99"/>
    <w:rsid w:val="009247B4"/>
    <w:rPr>
      <w:sz w:val="20"/>
      <w:szCs w:val="20"/>
    </w:rPr>
  </w:style>
  <w:style w:type="paragraph" w:styleId="Textodeglobo">
    <w:name w:val="Balloon Text"/>
    <w:basedOn w:val="Normal"/>
    <w:link w:val="TextodegloboCar"/>
    <w:uiPriority w:val="99"/>
    <w:semiHidden/>
    <w:unhideWhenUsed/>
    <w:rsid w:val="009247B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247B4"/>
    <w:rPr>
      <w:rFonts w:ascii="Segoe UI" w:hAnsi="Segoe UI" w:cs="Segoe UI"/>
      <w:sz w:val="18"/>
      <w:szCs w:val="18"/>
    </w:rPr>
  </w:style>
  <w:style w:type="table" w:styleId="Tablaconcuadrcula">
    <w:name w:val="Table Grid"/>
    <w:basedOn w:val="Tablanormal"/>
    <w:uiPriority w:val="59"/>
    <w:rsid w:val="0022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156308"/>
  </w:style>
  <w:style w:type="character" w:styleId="Hipervnculo">
    <w:name w:val="Hyperlink"/>
    <w:uiPriority w:val="99"/>
    <w:unhideWhenUsed/>
    <w:rsid w:val="006A3FC1"/>
    <w:rPr>
      <w:color w:val="0563C1"/>
      <w:u w:val="single"/>
    </w:rPr>
  </w:style>
  <w:style w:type="paragraph" w:styleId="Encabezado">
    <w:name w:val="header"/>
    <w:aliases w:val="Temática"/>
    <w:basedOn w:val="Normal"/>
    <w:link w:val="EncabezadoCar"/>
    <w:uiPriority w:val="99"/>
    <w:unhideWhenUsed/>
    <w:rsid w:val="002F0B70"/>
    <w:pPr>
      <w:tabs>
        <w:tab w:val="center" w:pos="4419"/>
        <w:tab w:val="right" w:pos="8838"/>
      </w:tabs>
      <w:spacing w:after="0" w:line="240" w:lineRule="auto"/>
    </w:pPr>
  </w:style>
  <w:style w:type="character" w:customStyle="1" w:styleId="EncabezadoCar">
    <w:name w:val="Encabezado Car"/>
    <w:aliases w:val="Temática Car"/>
    <w:basedOn w:val="Fuentedeprrafopredeter"/>
    <w:link w:val="Encabezado"/>
    <w:uiPriority w:val="99"/>
    <w:rsid w:val="002F0B70"/>
  </w:style>
  <w:style w:type="paragraph" w:styleId="Piedepgina">
    <w:name w:val="footer"/>
    <w:basedOn w:val="Normal"/>
    <w:link w:val="PiedepginaCar"/>
    <w:uiPriority w:val="99"/>
    <w:unhideWhenUsed/>
    <w:rsid w:val="002F0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B70"/>
  </w:style>
  <w:style w:type="paragraph" w:styleId="Sinespaciado">
    <w:name w:val="No Spacing"/>
    <w:aliases w:val="PÁRRAFO,espaciado sin"/>
    <w:link w:val="SinespaciadoCar"/>
    <w:uiPriority w:val="1"/>
    <w:qFormat/>
    <w:rsid w:val="00CB0E4C"/>
    <w:rPr>
      <w:sz w:val="22"/>
      <w:szCs w:val="22"/>
      <w:lang w:eastAsia="en-US"/>
    </w:rPr>
  </w:style>
  <w:style w:type="paragraph" w:styleId="Textoindependiente">
    <w:name w:val="Body Text"/>
    <w:basedOn w:val="Normal"/>
    <w:link w:val="TextoindependienteCar"/>
    <w:uiPriority w:val="1"/>
    <w:qFormat/>
    <w:rsid w:val="00A8557B"/>
    <w:pPr>
      <w:spacing w:after="0" w:line="360" w:lineRule="auto"/>
      <w:jc w:val="both"/>
    </w:pPr>
    <w:rPr>
      <w:rFonts w:ascii="Arial" w:eastAsia="Times New Roman" w:hAnsi="Arial" w:cs="Arial"/>
      <w:sz w:val="24"/>
      <w:szCs w:val="24"/>
      <w:lang w:val="es-ES_tradnl" w:eastAsia="es-ES"/>
    </w:rPr>
  </w:style>
  <w:style w:type="character" w:customStyle="1" w:styleId="TextoindependienteCar">
    <w:name w:val="Texto independiente Car"/>
    <w:link w:val="Textoindependiente"/>
    <w:uiPriority w:val="99"/>
    <w:rsid w:val="00A8557B"/>
    <w:rPr>
      <w:rFonts w:ascii="Arial" w:eastAsia="Times New Roman" w:hAnsi="Arial" w:cs="Arial"/>
      <w:sz w:val="24"/>
      <w:szCs w:val="24"/>
      <w:lang w:val="es-ES_tradnl" w:eastAsia="es-ES"/>
    </w:rPr>
  </w:style>
  <w:style w:type="paragraph" w:styleId="NormalWeb">
    <w:name w:val="Normal (Web)"/>
    <w:aliases w:val="Car"/>
    <w:basedOn w:val="Normal"/>
    <w:link w:val="NormalWebCar"/>
    <w:uiPriority w:val="99"/>
    <w:qFormat/>
    <w:rsid w:val="00A8557B"/>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shorttext">
    <w:name w:val="short_text"/>
    <w:rsid w:val="00A8557B"/>
  </w:style>
  <w:style w:type="character" w:styleId="CitaHTML">
    <w:name w:val="HTML Cite"/>
    <w:uiPriority w:val="99"/>
    <w:unhideWhenUsed/>
    <w:rsid w:val="00A8557B"/>
    <w:rPr>
      <w:i/>
      <w:iCs/>
    </w:rPr>
  </w:style>
  <w:style w:type="character" w:customStyle="1" w:styleId="article-title">
    <w:name w:val="article-title"/>
    <w:rsid w:val="00A8557B"/>
  </w:style>
  <w:style w:type="character" w:customStyle="1" w:styleId="PrrafodelistaCar">
    <w:name w:val="Párrafo de lista Car"/>
    <w:aliases w:val="Capítulo Car,Subtitulo1 Car,figuras cap 5 Car,TEXTOO Car,Lista vistosa - Énfasis 11 Car,Javier Titulo 2 tesis Car,Graficos Car,TITULOS PRINCIPALES Car,reducira Car,Fundamentacion Car,Iz - Párrafo de lista Car,Sivsa Parrafo Car"/>
    <w:link w:val="Prrafodelista"/>
    <w:uiPriority w:val="1"/>
    <w:qFormat/>
    <w:rsid w:val="00FD66C0"/>
    <w:rPr>
      <w:sz w:val="22"/>
      <w:szCs w:val="22"/>
      <w:lang w:eastAsia="en-US"/>
    </w:rPr>
  </w:style>
  <w:style w:type="paragraph" w:styleId="Bibliografa">
    <w:name w:val="Bibliography"/>
    <w:basedOn w:val="Normal"/>
    <w:next w:val="Normal"/>
    <w:uiPriority w:val="37"/>
    <w:unhideWhenUsed/>
    <w:rsid w:val="00FD66C0"/>
  </w:style>
  <w:style w:type="character" w:customStyle="1" w:styleId="Ttulo1Car">
    <w:name w:val="Título 1 Car"/>
    <w:link w:val="Ttulo1"/>
    <w:uiPriority w:val="9"/>
    <w:rsid w:val="005D20EE"/>
    <w:rPr>
      <w:rFonts w:ascii="Arial" w:eastAsia="Times New Roman" w:hAnsi="Arial"/>
      <w:b/>
      <w:sz w:val="28"/>
      <w:lang w:val="es-ES" w:eastAsia="es-ES"/>
    </w:rPr>
  </w:style>
  <w:style w:type="character" w:customStyle="1" w:styleId="Ttulo2Car">
    <w:name w:val="Título 2 Car"/>
    <w:link w:val="Ttulo2"/>
    <w:uiPriority w:val="9"/>
    <w:rsid w:val="005D20EE"/>
    <w:rPr>
      <w:rFonts w:ascii="Arial" w:eastAsia="Symbol" w:hAnsi="Arial" w:cs="Cambria"/>
      <w:b/>
      <w:sz w:val="24"/>
      <w:lang w:val="es-ES" w:eastAsia="es-ES"/>
    </w:rPr>
  </w:style>
  <w:style w:type="character" w:customStyle="1" w:styleId="Ttulo3Car">
    <w:name w:val="Título 3 Car"/>
    <w:link w:val="Ttulo3"/>
    <w:uiPriority w:val="9"/>
    <w:rsid w:val="005D20EE"/>
    <w:rPr>
      <w:rFonts w:ascii="Arial" w:eastAsia="Symbol" w:hAnsi="Arial" w:cs="Cambria"/>
      <w:b/>
      <w:sz w:val="24"/>
      <w:lang w:val="es-ES" w:eastAsia="es-ES"/>
    </w:rPr>
  </w:style>
  <w:style w:type="character" w:customStyle="1" w:styleId="Ttulo4Car">
    <w:name w:val="Título 4 Car"/>
    <w:link w:val="Ttulo4"/>
    <w:uiPriority w:val="9"/>
    <w:rsid w:val="005D20EE"/>
    <w:rPr>
      <w:rFonts w:ascii="Cambria" w:eastAsia="Symbol" w:hAnsi="Cambria" w:cs="Cambria"/>
      <w:b/>
      <w:i/>
      <w:color w:val="4F81BD"/>
      <w:sz w:val="24"/>
      <w:lang w:val="es-ES" w:eastAsia="es-ES"/>
    </w:rPr>
  </w:style>
  <w:style w:type="character" w:customStyle="1" w:styleId="Ttulo5Car">
    <w:name w:val="Título 5 Car"/>
    <w:link w:val="Ttulo5"/>
    <w:uiPriority w:val="9"/>
    <w:rsid w:val="005D20EE"/>
    <w:rPr>
      <w:rFonts w:ascii="Cambria" w:eastAsia="Symbol" w:hAnsi="Cambria" w:cs="Cambria"/>
      <w:color w:val="243F60"/>
      <w:sz w:val="24"/>
      <w:lang w:val="es-ES" w:eastAsia="es-ES"/>
    </w:rPr>
  </w:style>
  <w:style w:type="character" w:customStyle="1" w:styleId="Ttulo6Car">
    <w:name w:val="Título 6 Car"/>
    <w:link w:val="Ttulo6"/>
    <w:uiPriority w:val="9"/>
    <w:rsid w:val="005D20EE"/>
    <w:rPr>
      <w:rFonts w:ascii="Cambria" w:eastAsia="Symbol" w:hAnsi="Cambria" w:cs="Cambria"/>
      <w:i/>
      <w:color w:val="243F60"/>
      <w:sz w:val="24"/>
      <w:lang w:val="es-ES" w:eastAsia="es-ES"/>
    </w:rPr>
  </w:style>
  <w:style w:type="character" w:customStyle="1" w:styleId="Ttulo7Car">
    <w:name w:val="Título 7 Car"/>
    <w:link w:val="Ttulo7"/>
    <w:uiPriority w:val="9"/>
    <w:rsid w:val="005D20EE"/>
    <w:rPr>
      <w:rFonts w:ascii="Cambria" w:eastAsia="Symbol" w:hAnsi="Cambria" w:cs="Cambria"/>
      <w:i/>
      <w:color w:val="404040"/>
      <w:sz w:val="24"/>
      <w:lang w:val="es-ES" w:eastAsia="es-ES"/>
    </w:rPr>
  </w:style>
  <w:style w:type="character" w:customStyle="1" w:styleId="Ttulo8Car">
    <w:name w:val="Título 8 Car"/>
    <w:link w:val="Ttulo8"/>
    <w:uiPriority w:val="9"/>
    <w:rsid w:val="005D20EE"/>
    <w:rPr>
      <w:rFonts w:ascii="Cambria" w:eastAsia="Symbol" w:hAnsi="Cambria" w:cs="Cambria"/>
      <w:color w:val="404040"/>
      <w:lang w:val="es-ES" w:eastAsia="es-ES"/>
    </w:rPr>
  </w:style>
  <w:style w:type="character" w:customStyle="1" w:styleId="Ttulo9Car">
    <w:name w:val="Título 9 Car"/>
    <w:link w:val="Ttulo9"/>
    <w:uiPriority w:val="9"/>
    <w:rsid w:val="005D20EE"/>
    <w:rPr>
      <w:rFonts w:ascii="Cambria" w:eastAsia="Symbol" w:hAnsi="Cambria" w:cs="Cambria"/>
      <w:i/>
      <w:color w:val="404040"/>
      <w:lang w:val="es-ES" w:eastAsia="es-ES"/>
    </w:rPr>
  </w:style>
  <w:style w:type="paragraph" w:customStyle="1" w:styleId="Epgrafe2">
    <w:name w:val="Epígrafe2"/>
    <w:basedOn w:val="Normal"/>
    <w:next w:val="Normal"/>
    <w:uiPriority w:val="99"/>
    <w:rsid w:val="005D20EE"/>
    <w:pPr>
      <w:spacing w:after="0" w:line="240" w:lineRule="auto"/>
      <w:jc w:val="center"/>
    </w:pPr>
    <w:rPr>
      <w:rFonts w:ascii="Arial" w:eastAsia="Times New Roman" w:hAnsi="Arial"/>
      <w:b/>
      <w:sz w:val="18"/>
      <w:szCs w:val="20"/>
      <w:lang w:val="es-ES" w:eastAsia="es-ES"/>
    </w:rPr>
  </w:style>
  <w:style w:type="character" w:styleId="nfasis">
    <w:name w:val="Emphasis"/>
    <w:uiPriority w:val="20"/>
    <w:qFormat/>
    <w:rsid w:val="00061DD8"/>
    <w:rPr>
      <w:i/>
      <w:iCs/>
    </w:rPr>
  </w:style>
  <w:style w:type="paragraph" w:customStyle="1" w:styleId="Default">
    <w:name w:val="Default"/>
    <w:rsid w:val="00541804"/>
    <w:pPr>
      <w:autoSpaceDE w:val="0"/>
      <w:autoSpaceDN w:val="0"/>
      <w:adjustRightInd w:val="0"/>
    </w:pPr>
    <w:rPr>
      <w:rFonts w:ascii="Times New Roman" w:hAnsi="Times New Roman"/>
      <w:color w:val="000000"/>
      <w:sz w:val="24"/>
      <w:szCs w:val="24"/>
      <w:lang w:val="es-VE" w:eastAsia="es-VE"/>
    </w:rPr>
  </w:style>
  <w:style w:type="character" w:customStyle="1" w:styleId="st1">
    <w:name w:val="st1"/>
    <w:rsid w:val="002B6ECE"/>
  </w:style>
  <w:style w:type="character" w:customStyle="1" w:styleId="NormalWebCar">
    <w:name w:val="Normal (Web) Car"/>
    <w:aliases w:val="Car Car"/>
    <w:link w:val="NormalWeb"/>
    <w:uiPriority w:val="99"/>
    <w:locked/>
    <w:rsid w:val="007467F9"/>
    <w:rPr>
      <w:rFonts w:ascii="Times New Roman" w:eastAsia="Times New Roman" w:hAnsi="Times New Roman"/>
      <w:sz w:val="24"/>
      <w:szCs w:val="24"/>
      <w:lang w:val="es-ES" w:eastAsia="es-ES"/>
    </w:rPr>
  </w:style>
  <w:style w:type="character" w:styleId="Textoennegrita">
    <w:name w:val="Strong"/>
    <w:uiPriority w:val="22"/>
    <w:qFormat/>
    <w:rsid w:val="007467F9"/>
    <w:rPr>
      <w:b/>
      <w:bCs/>
    </w:rPr>
  </w:style>
  <w:style w:type="paragraph" w:customStyle="1" w:styleId="Standard">
    <w:name w:val="Standard"/>
    <w:uiPriority w:val="99"/>
    <w:rsid w:val="007467F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Cuerpodetexto">
    <w:name w:val="Cuerpo de texto"/>
    <w:basedOn w:val="Normal"/>
    <w:uiPriority w:val="99"/>
    <w:rsid w:val="007467F9"/>
    <w:pPr>
      <w:tabs>
        <w:tab w:val="left" w:pos="708"/>
      </w:tabs>
      <w:suppressAutoHyphens/>
      <w:spacing w:after="120" w:line="276" w:lineRule="auto"/>
    </w:pPr>
    <w:rPr>
      <w:lang w:val="es-VE" w:eastAsia="es-VE"/>
    </w:rPr>
  </w:style>
  <w:style w:type="paragraph" w:customStyle="1" w:styleId="biblio">
    <w:name w:val="biblio"/>
    <w:basedOn w:val="Normal"/>
    <w:rsid w:val="007467F9"/>
    <w:pPr>
      <w:spacing w:after="75" w:line="348" w:lineRule="atLeast"/>
    </w:pPr>
    <w:rPr>
      <w:rFonts w:ascii="Times New Roman" w:eastAsia="Times New Roman" w:hAnsi="Times New Roman"/>
      <w:sz w:val="24"/>
      <w:szCs w:val="24"/>
      <w:lang w:val="es-VE" w:eastAsia="es-VE"/>
    </w:rPr>
  </w:style>
  <w:style w:type="paragraph" w:styleId="Sangra3detindependiente">
    <w:name w:val="Body Text Indent 3"/>
    <w:basedOn w:val="Normal"/>
    <w:link w:val="Sangra3detindependienteCar"/>
    <w:uiPriority w:val="99"/>
    <w:semiHidden/>
    <w:unhideWhenUsed/>
    <w:rsid w:val="00620005"/>
    <w:pPr>
      <w:spacing w:after="120"/>
      <w:ind w:left="283"/>
    </w:pPr>
    <w:rPr>
      <w:sz w:val="16"/>
      <w:szCs w:val="16"/>
    </w:rPr>
  </w:style>
  <w:style w:type="character" w:customStyle="1" w:styleId="Sangra3detindependienteCar">
    <w:name w:val="Sangría 3 de t. independiente Car"/>
    <w:link w:val="Sangra3detindependiente"/>
    <w:uiPriority w:val="99"/>
    <w:semiHidden/>
    <w:rsid w:val="00620005"/>
    <w:rPr>
      <w:sz w:val="16"/>
      <w:szCs w:val="16"/>
      <w:lang w:eastAsia="en-US"/>
    </w:rPr>
  </w:style>
  <w:style w:type="paragraph" w:styleId="Textodebloque">
    <w:name w:val="Block Text"/>
    <w:basedOn w:val="Normal"/>
    <w:uiPriority w:val="99"/>
    <w:semiHidden/>
    <w:unhideWhenUsed/>
    <w:rsid w:val="00620005"/>
    <w:pPr>
      <w:spacing w:after="0" w:line="240" w:lineRule="auto"/>
      <w:ind w:left="1134" w:right="1134" w:firstLine="539"/>
    </w:pPr>
    <w:rPr>
      <w:rFonts w:ascii="Times New Roman" w:eastAsia="Times New Roman" w:hAnsi="Times New Roman"/>
      <w:sz w:val="24"/>
      <w:szCs w:val="24"/>
      <w:lang w:val="es-ES" w:eastAsia="es-VE"/>
    </w:rPr>
  </w:style>
  <w:style w:type="character" w:customStyle="1" w:styleId="SinespaciadoCar">
    <w:name w:val="Sin espaciado Car"/>
    <w:aliases w:val="PÁRRAFO Car,espaciado sin Car"/>
    <w:link w:val="Sinespaciado"/>
    <w:uiPriority w:val="1"/>
    <w:rsid w:val="0032072F"/>
    <w:rPr>
      <w:sz w:val="22"/>
      <w:szCs w:val="22"/>
      <w:lang w:eastAsia="en-US"/>
    </w:rPr>
  </w:style>
  <w:style w:type="paragraph" w:styleId="Listaconvietas2">
    <w:name w:val="List Bullet 2"/>
    <w:basedOn w:val="Normal"/>
    <w:uiPriority w:val="99"/>
    <w:unhideWhenUsed/>
    <w:rsid w:val="00C93633"/>
    <w:pPr>
      <w:spacing w:after="200" w:line="276" w:lineRule="auto"/>
      <w:contextualSpacing/>
    </w:pPr>
    <w:rPr>
      <w:lang w:eastAsia="es-EC"/>
    </w:rPr>
  </w:style>
  <w:style w:type="character" w:customStyle="1" w:styleId="tlid-translation">
    <w:name w:val="tlid-translation"/>
    <w:rsid w:val="00C93633"/>
  </w:style>
  <w:style w:type="character" w:customStyle="1" w:styleId="apple-converted-space">
    <w:name w:val="apple-converted-space"/>
    <w:rsid w:val="008E4AF8"/>
  </w:style>
  <w:style w:type="character" w:customStyle="1" w:styleId="Refdecomentario1">
    <w:name w:val="Ref. de comentario1"/>
    <w:rsid w:val="008E4AF8"/>
    <w:rPr>
      <w:sz w:val="16"/>
      <w:szCs w:val="16"/>
    </w:rPr>
  </w:style>
  <w:style w:type="character" w:customStyle="1" w:styleId="A6">
    <w:name w:val="A6"/>
    <w:rsid w:val="008E4AF8"/>
    <w:rPr>
      <w:rFonts w:cs="Humanst521 BT"/>
      <w:color w:val="000000"/>
      <w:sz w:val="22"/>
      <w:szCs w:val="22"/>
    </w:rPr>
  </w:style>
  <w:style w:type="table" w:customStyle="1" w:styleId="Tablaconcuadrcula1">
    <w:name w:val="Tabla con cuadrícula1"/>
    <w:basedOn w:val="Tablanormal"/>
    <w:next w:val="Tablaconcuadrcula"/>
    <w:uiPriority w:val="59"/>
    <w:rsid w:val="0005050D"/>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rsid w:val="006C6AD0"/>
  </w:style>
  <w:style w:type="paragraph" w:customStyle="1" w:styleId="Epgrafe">
    <w:name w:val="Epígrafe"/>
    <w:basedOn w:val="Normal"/>
    <w:next w:val="Normal"/>
    <w:uiPriority w:val="35"/>
    <w:unhideWhenUsed/>
    <w:qFormat/>
    <w:rsid w:val="00BF53E8"/>
    <w:pPr>
      <w:spacing w:after="200" w:line="240" w:lineRule="auto"/>
    </w:pPr>
    <w:rPr>
      <w:rFonts w:ascii="Times New Roman" w:hAnsi="Times New Roman"/>
      <w:i/>
      <w:iCs/>
      <w:color w:val="1F497D"/>
      <w:sz w:val="18"/>
      <w:szCs w:val="18"/>
      <w:lang w:val="es-ES"/>
    </w:rPr>
  </w:style>
  <w:style w:type="paragraph" w:customStyle="1" w:styleId="CM95">
    <w:name w:val="CM95"/>
    <w:basedOn w:val="Normal"/>
    <w:next w:val="Normal"/>
    <w:uiPriority w:val="99"/>
    <w:rsid w:val="00432FB1"/>
    <w:pPr>
      <w:autoSpaceDE w:val="0"/>
      <w:autoSpaceDN w:val="0"/>
      <w:adjustRightInd w:val="0"/>
      <w:spacing w:after="0" w:line="240" w:lineRule="auto"/>
    </w:pPr>
    <w:rPr>
      <w:rFonts w:ascii="BCHPD G+ Times Ten" w:hAnsi="BCHPD G+ Times Ten"/>
      <w:sz w:val="24"/>
      <w:szCs w:val="24"/>
      <w:lang w:val="es-VE"/>
    </w:rPr>
  </w:style>
  <w:style w:type="table" w:styleId="Sombreadoclaro-nfasis4">
    <w:name w:val="Light Shading Accent 4"/>
    <w:basedOn w:val="Tablanormal"/>
    <w:uiPriority w:val="60"/>
    <w:rsid w:val="00432FB1"/>
    <w:rPr>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aconcuadrcula2">
    <w:name w:val="Tabla con cuadrícula2"/>
    <w:basedOn w:val="Tablanormal"/>
    <w:next w:val="Tablaconcuadrcula"/>
    <w:uiPriority w:val="59"/>
    <w:rsid w:val="00075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DE3E46"/>
    <w:rPr>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vistoso-nfasis1">
    <w:name w:val="Colorful Shading Accent 1"/>
    <w:basedOn w:val="Tablanormal"/>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ombreadovistoso-nfasis11">
    <w:name w:val="Sombreado vistoso - Énfasis 11"/>
    <w:basedOn w:val="Tablanormal"/>
    <w:next w:val="Sombreadovistoso-nfasis1"/>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claro-nfasis3">
    <w:name w:val="Light Shading Accent 3"/>
    <w:basedOn w:val="Tablanormal"/>
    <w:uiPriority w:val="60"/>
    <w:rsid w:val="00800B4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1">
    <w:name w:val="Sombreado claro - Énfasis 31"/>
    <w:basedOn w:val="Tablanormal"/>
    <w:next w:val="Sombreadoclaro-nfasis3"/>
    <w:uiPriority w:val="60"/>
    <w:rsid w:val="00A2109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2">
    <w:name w:val="Sombreado claro - Énfasis 32"/>
    <w:basedOn w:val="Tablanormal"/>
    <w:next w:val="Sombreadoclaro-nfasis3"/>
    <w:uiPriority w:val="60"/>
    <w:rsid w:val="00D748F3"/>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styleId="Refdenotaalpie">
    <w:name w:val="footnote reference"/>
    <w:uiPriority w:val="99"/>
    <w:semiHidden/>
    <w:unhideWhenUsed/>
    <w:rsid w:val="00315815"/>
    <w:rPr>
      <w:vertAlign w:val="superscript"/>
    </w:rPr>
  </w:style>
  <w:style w:type="character" w:customStyle="1" w:styleId="UnresolvedMention">
    <w:name w:val="Unresolved Mention"/>
    <w:uiPriority w:val="99"/>
    <w:semiHidden/>
    <w:unhideWhenUsed/>
    <w:rsid w:val="005C6EEF"/>
    <w:rPr>
      <w:color w:val="605E5C"/>
      <w:shd w:val="clear" w:color="auto" w:fill="E1DFDD"/>
    </w:rPr>
  </w:style>
  <w:style w:type="table" w:customStyle="1" w:styleId="Tablaconcuadrcula3">
    <w:name w:val="Tabla con cuadrícula3"/>
    <w:basedOn w:val="Tablanormal"/>
    <w:next w:val="Tablaconcuadrcula"/>
    <w:uiPriority w:val="39"/>
    <w:rsid w:val="00B80D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7A5D7B"/>
    <w:pPr>
      <w:suppressAutoHyphens/>
    </w:pPr>
    <w:rPr>
      <w:rFonts w:ascii="Liberation Serif" w:eastAsia="SimSun" w:hAnsi="Liberation Serif" w:cs="Lohit Devanagari"/>
      <w:kern w:val="2"/>
      <w:szCs w:val="24"/>
      <w:lang w:val="es-V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C13BB"/>
    <w:pPr>
      <w:suppressLineNumbers/>
      <w:suppressAutoHyphens/>
      <w:overflowPunct w:val="0"/>
      <w:spacing w:after="0" w:line="360" w:lineRule="auto"/>
      <w:ind w:firstLine="284"/>
      <w:jc w:val="both"/>
    </w:pPr>
    <w:rPr>
      <w:rFonts w:cs="DejaVu Sans"/>
      <w:lang w:val="es-MX"/>
    </w:rPr>
  </w:style>
  <w:style w:type="table" w:customStyle="1" w:styleId="Tablaconcuadrcula5">
    <w:name w:val="Tabla con cuadrícula5"/>
    <w:basedOn w:val="Tablanormal"/>
    <w:next w:val="Tablaconcuadrcula"/>
    <w:uiPriority w:val="39"/>
    <w:rsid w:val="009E45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next w:val="Tabladelista6concolores"/>
    <w:uiPriority w:val="51"/>
    <w:rsid w:val="00B11B96"/>
    <w:rPr>
      <w:rFonts w:ascii="Cambria" w:eastAsia="Cambria" w:hAnsi="Cambria"/>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B11B96"/>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
    <w:name w:val="Tabla con cuadrícula6"/>
    <w:basedOn w:val="Tablanormal"/>
    <w:next w:val="Tablaconcuadrcula"/>
    <w:uiPriority w:val="59"/>
    <w:rsid w:val="004C55CC"/>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00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36F7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C7F06"/>
    <w:pPr>
      <w:widowControl w:val="0"/>
      <w:autoSpaceDE w:val="0"/>
      <w:autoSpaceDN w:val="0"/>
    </w:pPr>
    <w:rPr>
      <w:rFonts w:ascii="Cambria" w:eastAsia="Cambria"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C341C"/>
  </w:style>
  <w:style w:type="table" w:customStyle="1" w:styleId="Tablaconcuadrcula10">
    <w:name w:val="Tabla con cuadrícula10"/>
    <w:basedOn w:val="Tablanormal"/>
    <w:next w:val="Tablaconcuadrcula"/>
    <w:uiPriority w:val="39"/>
    <w:rsid w:val="00FC341C"/>
    <w:pPr>
      <w:jc w:val="both"/>
    </w:pPr>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C341C"/>
    <w:pPr>
      <w:pBdr>
        <w:top w:val="nil"/>
        <w:left w:val="nil"/>
        <w:bottom w:val="nil"/>
        <w:right w:val="nil"/>
        <w:between w:val="nil"/>
        <w:bar w:val="nil"/>
      </w:pBdr>
    </w:pPr>
    <w:rPr>
      <w:rFonts w:ascii="Helvetica Neue" w:eastAsia="Arial Unicode MS" w:hAnsi="Helvetica Neue" w:cs="Arial Unicode MS"/>
      <w:color w:val="000000"/>
      <w:sz w:val="22"/>
      <w:szCs w:val="22"/>
      <w:bdr w:val="nil"/>
      <w:lang w:val="fr-FR" w:eastAsia="es-PE"/>
    </w:rPr>
  </w:style>
  <w:style w:type="table" w:customStyle="1" w:styleId="Tablanormal211">
    <w:name w:val="Tabla normal 211"/>
    <w:basedOn w:val="Tablanormal"/>
    <w:uiPriority w:val="42"/>
    <w:rsid w:val="00015F6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4">
    <w:name w:val="Plain Table 4"/>
    <w:basedOn w:val="Tablanormal"/>
    <w:uiPriority w:val="44"/>
    <w:rsid w:val="00015F62"/>
    <w:rPr>
      <w:sz w:val="22"/>
      <w:szCs w:val="22"/>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2">
    <w:name w:val="Plain Table 2"/>
    <w:basedOn w:val="Tablanormal"/>
    <w:uiPriority w:val="42"/>
    <w:rsid w:val="00015F62"/>
    <w:rPr>
      <w:sz w:val="22"/>
      <w:szCs w:val="22"/>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2">
    <w:name w:val="Sin lista2"/>
    <w:next w:val="Sinlista"/>
    <w:uiPriority w:val="99"/>
    <w:semiHidden/>
    <w:unhideWhenUsed/>
    <w:rsid w:val="00797722"/>
  </w:style>
  <w:style w:type="paragraph" w:styleId="Asuntodelcomentario">
    <w:name w:val="annotation subject"/>
    <w:basedOn w:val="Textocomentario"/>
    <w:next w:val="Textocomentario"/>
    <w:link w:val="AsuntodelcomentarioCar"/>
    <w:uiPriority w:val="99"/>
    <w:semiHidden/>
    <w:unhideWhenUsed/>
    <w:rsid w:val="00797722"/>
    <w:rPr>
      <w:b/>
      <w:bCs/>
    </w:rPr>
  </w:style>
  <w:style w:type="character" w:customStyle="1" w:styleId="AsuntodelcomentarioCar">
    <w:name w:val="Asunto del comentario Car"/>
    <w:link w:val="Asuntodelcomentario"/>
    <w:uiPriority w:val="99"/>
    <w:semiHidden/>
    <w:rsid w:val="00797722"/>
    <w:rPr>
      <w:b/>
      <w:bCs/>
      <w:sz w:val="20"/>
      <w:szCs w:val="20"/>
      <w:lang w:eastAsia="en-US"/>
    </w:rPr>
  </w:style>
  <w:style w:type="paragraph" w:styleId="Revisin">
    <w:name w:val="Revision"/>
    <w:hidden/>
    <w:uiPriority w:val="99"/>
    <w:semiHidden/>
    <w:rsid w:val="00797722"/>
    <w:rPr>
      <w:sz w:val="22"/>
      <w:szCs w:val="22"/>
      <w:lang w:eastAsia="en-US"/>
    </w:rPr>
  </w:style>
  <w:style w:type="table" w:customStyle="1" w:styleId="Tablaconcuadrcula11">
    <w:name w:val="Tabla con cuadrícula11"/>
    <w:basedOn w:val="Tablanormal"/>
    <w:next w:val="Tablaconcuadrcula"/>
    <w:uiPriority w:val="39"/>
    <w:rsid w:val="0079772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2">
    <w:name w:val="Tabla de lista 6 con colores2"/>
    <w:basedOn w:val="Tablanormal"/>
    <w:next w:val="Tabladelista6concolores"/>
    <w:uiPriority w:val="51"/>
    <w:rsid w:val="00797722"/>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notapie">
    <w:name w:val="footnote text"/>
    <w:basedOn w:val="Normal"/>
    <w:link w:val="TextonotapieCar"/>
    <w:uiPriority w:val="99"/>
    <w:unhideWhenUsed/>
    <w:rsid w:val="002746B7"/>
    <w:pPr>
      <w:spacing w:after="0" w:line="240" w:lineRule="auto"/>
    </w:pPr>
    <w:rPr>
      <w:sz w:val="20"/>
      <w:szCs w:val="20"/>
    </w:rPr>
  </w:style>
  <w:style w:type="character" w:customStyle="1" w:styleId="TextonotapieCar">
    <w:name w:val="Texto nota pie Car"/>
    <w:link w:val="Textonotapie"/>
    <w:uiPriority w:val="99"/>
    <w:rsid w:val="002746B7"/>
    <w:rPr>
      <w:lang w:eastAsia="en-US"/>
    </w:rPr>
  </w:style>
  <w:style w:type="table" w:customStyle="1" w:styleId="Tablanormal22">
    <w:name w:val="Tabla normal 22"/>
    <w:basedOn w:val="Tablanormal"/>
    <w:next w:val="Tablanormal2"/>
    <w:uiPriority w:val="42"/>
    <w:rsid w:val="008F75DF"/>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51">
    <w:name w:val="Tabla normal 51"/>
    <w:basedOn w:val="Tablanormal"/>
    <w:next w:val="Tablanormal5"/>
    <w:uiPriority w:val="45"/>
    <w:rsid w:val="00C32E52"/>
    <w:rPr>
      <w:rFonts w:eastAsia="Times New Roman"/>
      <w:sz w:val="22"/>
      <w:szCs w:val="22"/>
      <w:lang w:val="es-CO"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C32E5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2">
    <w:name w:val="Tabla con cuadrícula12"/>
    <w:basedOn w:val="Tablanormal"/>
    <w:next w:val="Tablaconcuadrcula"/>
    <w:uiPriority w:val="39"/>
    <w:rsid w:val="00670E5B"/>
    <w:rPr>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9F0F7E"/>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3">
    <w:name w:val="Tabla de lista 6 con colores3"/>
    <w:basedOn w:val="Tablanormal"/>
    <w:next w:val="Tabladelista6concolores"/>
    <w:uiPriority w:val="51"/>
    <w:rsid w:val="000A400E"/>
    <w:rPr>
      <w:color w:val="000000"/>
      <w:sz w:val="24"/>
      <w:szCs w:val="24"/>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
    <w:name w:val="Table Normal"/>
    <w:uiPriority w:val="2"/>
    <w:semiHidden/>
    <w:unhideWhenUsed/>
    <w:qFormat/>
    <w:rsid w:val="008E0D9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delista6concolores11">
    <w:name w:val="Tabla de lista 6 con colores11"/>
    <w:basedOn w:val="Tablanormal"/>
    <w:uiPriority w:val="51"/>
    <w:rsid w:val="008E0D91"/>
    <w:rPr>
      <w:color w:val="000000"/>
      <w:sz w:val="22"/>
      <w:szCs w:val="22"/>
      <w:lang w:val="es-E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4">
    <w:name w:val="Tabla con cuadrícula14"/>
    <w:basedOn w:val="Tablanormal"/>
    <w:next w:val="Tablaconcuadrcula"/>
    <w:uiPriority w:val="39"/>
    <w:rsid w:val="0048577C"/>
    <w:rPr>
      <w:rFonts w:ascii="Arial" w:hAnsi="Arial" w:cs="Arial"/>
      <w:sz w:val="24"/>
      <w:szCs w:val="24"/>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7E3D6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7E3D6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0B49E6"/>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FC2D7E"/>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D7202"/>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D720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adecuadrcula1clara-nfasis51">
    <w:name w:val="Tabla de cuadrícula 1 clara - Énfasis 51"/>
    <w:basedOn w:val="Tablanormal"/>
    <w:next w:val="Tabladecuadrcula1clara-nfasis5"/>
    <w:uiPriority w:val="46"/>
    <w:rsid w:val="00436019"/>
    <w:rPr>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43601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lista6concolores4">
    <w:name w:val="Tabla de lista 6 con colores4"/>
    <w:basedOn w:val="Tablanormal"/>
    <w:next w:val="Tabladelista6concolores"/>
    <w:uiPriority w:val="51"/>
    <w:rsid w:val="002452B3"/>
    <w:rPr>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212">
    <w:name w:val="Tabla normal 212"/>
    <w:basedOn w:val="Tablanormal"/>
    <w:uiPriority w:val="42"/>
    <w:rsid w:val="00B378EC"/>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3">
    <w:name w:val="Tabla normal 23"/>
    <w:basedOn w:val="Tablanormal"/>
    <w:next w:val="Tablanormal2"/>
    <w:uiPriority w:val="42"/>
    <w:rsid w:val="00C424C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8">
    <w:name w:val="Tabla con cuadrícula18"/>
    <w:basedOn w:val="Tablanormal"/>
    <w:next w:val="Tablaconcuadrcula"/>
    <w:uiPriority w:val="39"/>
    <w:rsid w:val="00F664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
    <w:uiPriority w:val="43"/>
    <w:rsid w:val="00A7106F"/>
    <w:rPr>
      <w:rFonts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normal3">
    <w:name w:val="Plain Table 3"/>
    <w:basedOn w:val="Tablanormal"/>
    <w:uiPriority w:val="43"/>
    <w:rsid w:val="00A7106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9">
    <w:name w:val="Tabla con cuadrícula19"/>
    <w:basedOn w:val="Tablanormal"/>
    <w:next w:val="Tablaconcuadrcula"/>
    <w:uiPriority w:val="39"/>
    <w:rsid w:val="009172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7D3B"/>
  </w:style>
  <w:style w:type="table" w:customStyle="1" w:styleId="TableNormal2">
    <w:name w:val="Table Normal2"/>
    <w:rsid w:val="00C27D3B"/>
    <w:pPr>
      <w:spacing w:after="200" w:line="276" w:lineRule="auto"/>
    </w:pPr>
    <w:rPr>
      <w:rFonts w:ascii="Arial" w:eastAsia="Arial" w:hAnsi="Arial" w:cs="Arial"/>
      <w:sz w:val="24"/>
      <w:szCs w:val="24"/>
    </w:rPr>
    <w:tblPr>
      <w:tblCellMar>
        <w:top w:w="0" w:type="dxa"/>
        <w:left w:w="0" w:type="dxa"/>
        <w:bottom w:w="0" w:type="dxa"/>
        <w:right w:w="0" w:type="dxa"/>
      </w:tblCellMar>
    </w:tblPr>
  </w:style>
  <w:style w:type="paragraph" w:styleId="Puesto">
    <w:name w:val="Title"/>
    <w:basedOn w:val="Normal"/>
    <w:next w:val="Normal"/>
    <w:link w:val="PuestoCar"/>
    <w:uiPriority w:val="1"/>
    <w:qFormat/>
    <w:rsid w:val="00C27D3B"/>
    <w:pPr>
      <w:keepNext/>
      <w:keepLines/>
      <w:spacing w:before="480" w:after="120" w:line="276" w:lineRule="auto"/>
    </w:pPr>
    <w:rPr>
      <w:rFonts w:ascii="Arial" w:eastAsia="Arial" w:hAnsi="Arial" w:cs="Arial"/>
      <w:b/>
      <w:sz w:val="72"/>
      <w:szCs w:val="72"/>
      <w:lang w:eastAsia="es-EC"/>
    </w:rPr>
  </w:style>
  <w:style w:type="character" w:customStyle="1" w:styleId="PuestoCar">
    <w:name w:val="Puesto Car"/>
    <w:link w:val="Puesto"/>
    <w:uiPriority w:val="1"/>
    <w:rsid w:val="00C27D3B"/>
    <w:rPr>
      <w:rFonts w:ascii="Arial" w:eastAsia="Arial" w:hAnsi="Arial" w:cs="Arial"/>
      <w:b/>
      <w:sz w:val="72"/>
      <w:szCs w:val="72"/>
    </w:rPr>
  </w:style>
  <w:style w:type="paragraph" w:customStyle="1" w:styleId="Descripcin1">
    <w:name w:val="Descripción1"/>
    <w:basedOn w:val="Normal"/>
    <w:next w:val="Normal"/>
    <w:uiPriority w:val="35"/>
    <w:unhideWhenUsed/>
    <w:qFormat/>
    <w:rsid w:val="00C27D3B"/>
    <w:pPr>
      <w:spacing w:after="200" w:line="240" w:lineRule="auto"/>
    </w:pPr>
    <w:rPr>
      <w:rFonts w:ascii="Arial" w:eastAsia="Arial" w:hAnsi="Arial" w:cs="Arial"/>
      <w:b/>
      <w:bCs/>
      <w:color w:val="4F81BD"/>
      <w:sz w:val="18"/>
      <w:szCs w:val="18"/>
      <w:lang w:eastAsia="es-EC"/>
    </w:rPr>
  </w:style>
  <w:style w:type="table" w:customStyle="1" w:styleId="Sombreadoclaro-nfasis11">
    <w:name w:val="Sombreado claro - Énfasis 11"/>
    <w:basedOn w:val="Tablanormal"/>
    <w:next w:val="Sombreadoclaro-nfasis1"/>
    <w:uiPriority w:val="60"/>
    <w:rsid w:val="00C27D3B"/>
    <w:rPr>
      <w:rFonts w:ascii="Arial" w:eastAsia="Arial" w:hAnsi="Arial" w:cs="Arial"/>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next w:val="Sombreadoclaro"/>
    <w:uiPriority w:val="60"/>
    <w:rsid w:val="00C27D3B"/>
    <w:rPr>
      <w:rFonts w:ascii="Arial" w:eastAsia="Arial" w:hAnsi="Arial" w:cs="Arial"/>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33">
    <w:name w:val="Sombreado claro - Énfasis 33"/>
    <w:basedOn w:val="Tablanormal"/>
    <w:next w:val="Sombreadoclaro-nfasis3"/>
    <w:uiPriority w:val="60"/>
    <w:rsid w:val="00C27D3B"/>
    <w:rPr>
      <w:rFonts w:ascii="Arial" w:eastAsia="Arial" w:hAnsi="Arial" w:cs="Arial"/>
      <w:color w:val="76923C"/>
      <w:sz w:val="24"/>
      <w:szCs w:val="24"/>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tulodeTDC1">
    <w:name w:val="Título de TDC1"/>
    <w:basedOn w:val="Ttulo1"/>
    <w:next w:val="Normal"/>
    <w:uiPriority w:val="39"/>
    <w:semiHidden/>
    <w:unhideWhenUsed/>
    <w:qFormat/>
    <w:rsid w:val="00C27D3B"/>
    <w:pPr>
      <w:numPr>
        <w:numId w:val="0"/>
      </w:numPr>
      <w:spacing w:line="276" w:lineRule="auto"/>
      <w:jc w:val="left"/>
      <w:outlineLvl w:val="9"/>
    </w:pPr>
    <w:rPr>
      <w:rFonts w:ascii="Cambria" w:hAnsi="Cambria"/>
      <w:bCs/>
      <w:color w:val="365F91"/>
      <w:szCs w:val="28"/>
      <w:lang w:val="es-EC" w:eastAsia="es-EC"/>
    </w:rPr>
  </w:style>
  <w:style w:type="paragraph" w:styleId="TDC1">
    <w:name w:val="toc 1"/>
    <w:basedOn w:val="Normal"/>
    <w:next w:val="Normal"/>
    <w:autoRedefine/>
    <w:uiPriority w:val="39"/>
    <w:unhideWhenUsed/>
    <w:rsid w:val="00C27D3B"/>
    <w:pPr>
      <w:spacing w:after="100" w:line="276" w:lineRule="auto"/>
    </w:pPr>
    <w:rPr>
      <w:rFonts w:ascii="Arial" w:eastAsia="Arial" w:hAnsi="Arial" w:cs="Arial"/>
      <w:sz w:val="24"/>
      <w:szCs w:val="24"/>
      <w:lang w:eastAsia="es-EC"/>
    </w:rPr>
  </w:style>
  <w:style w:type="paragraph" w:styleId="TDC2">
    <w:name w:val="toc 2"/>
    <w:basedOn w:val="Normal"/>
    <w:next w:val="Normal"/>
    <w:autoRedefine/>
    <w:uiPriority w:val="39"/>
    <w:unhideWhenUsed/>
    <w:rsid w:val="00C27D3B"/>
    <w:pPr>
      <w:spacing w:after="100" w:line="276" w:lineRule="auto"/>
      <w:ind w:left="240"/>
    </w:pPr>
    <w:rPr>
      <w:rFonts w:ascii="Arial" w:eastAsia="Arial" w:hAnsi="Arial" w:cs="Arial"/>
      <w:sz w:val="24"/>
      <w:szCs w:val="24"/>
      <w:lang w:eastAsia="es-EC"/>
    </w:rPr>
  </w:style>
  <w:style w:type="paragraph" w:styleId="TDC3">
    <w:name w:val="toc 3"/>
    <w:basedOn w:val="Normal"/>
    <w:next w:val="Normal"/>
    <w:autoRedefine/>
    <w:uiPriority w:val="39"/>
    <w:unhideWhenUsed/>
    <w:rsid w:val="00C27D3B"/>
    <w:pPr>
      <w:spacing w:after="100" w:line="276" w:lineRule="auto"/>
      <w:ind w:left="480"/>
    </w:pPr>
    <w:rPr>
      <w:rFonts w:ascii="Arial" w:eastAsia="Arial" w:hAnsi="Arial" w:cs="Arial"/>
      <w:sz w:val="24"/>
      <w:szCs w:val="24"/>
      <w:lang w:eastAsia="es-EC"/>
    </w:rPr>
  </w:style>
  <w:style w:type="paragraph" w:styleId="HTMLconformatoprevio">
    <w:name w:val="HTML Preformatted"/>
    <w:basedOn w:val="Normal"/>
    <w:link w:val="HTMLconformatoprevioCar"/>
    <w:uiPriority w:val="99"/>
    <w:unhideWhenUsed/>
    <w:rsid w:val="00C27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link w:val="HTMLconformatoprevio"/>
    <w:uiPriority w:val="99"/>
    <w:rsid w:val="00C27D3B"/>
    <w:rPr>
      <w:rFonts w:ascii="Courier New" w:eastAsia="Times New Roman" w:hAnsi="Courier New" w:cs="Courier New"/>
    </w:rPr>
  </w:style>
  <w:style w:type="character" w:customStyle="1" w:styleId="y2iqfc">
    <w:name w:val="y2iqfc"/>
    <w:rsid w:val="00C27D3B"/>
  </w:style>
  <w:style w:type="table" w:customStyle="1" w:styleId="Listamedia1-nfasis31">
    <w:name w:val="Lista media 1 - Énfasis 31"/>
    <w:basedOn w:val="Tablanormal"/>
    <w:next w:val="Listamedia1-nfasis3"/>
    <w:uiPriority w:val="65"/>
    <w:rsid w:val="00C27D3B"/>
    <w:rPr>
      <w:rFonts w:ascii="Arial" w:eastAsia="Arial" w:hAnsi="Arial" w:cs="Arial"/>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Subttulo">
    <w:name w:val="Subtitle"/>
    <w:basedOn w:val="Normal"/>
    <w:next w:val="Normal"/>
    <w:link w:val="SubttuloCar"/>
    <w:rsid w:val="00C27D3B"/>
    <w:pPr>
      <w:keepNext/>
      <w:keepLines/>
      <w:spacing w:before="360" w:after="80" w:line="276" w:lineRule="auto"/>
    </w:pPr>
    <w:rPr>
      <w:rFonts w:ascii="Georgia" w:eastAsia="Georgia" w:hAnsi="Georgia" w:cs="Georgia"/>
      <w:i/>
      <w:color w:val="666666"/>
      <w:sz w:val="48"/>
      <w:szCs w:val="48"/>
      <w:lang w:eastAsia="es-EC"/>
    </w:rPr>
  </w:style>
  <w:style w:type="character" w:customStyle="1" w:styleId="SubttuloCar">
    <w:name w:val="Subtítulo Car"/>
    <w:link w:val="Subttulo"/>
    <w:rsid w:val="00C27D3B"/>
    <w:rPr>
      <w:rFonts w:ascii="Georgia" w:eastAsia="Georgia" w:hAnsi="Georgia" w:cs="Georgia"/>
      <w:i/>
      <w:color w:val="666666"/>
      <w:sz w:val="48"/>
      <w:szCs w:val="48"/>
    </w:rPr>
  </w:style>
  <w:style w:type="table" w:customStyle="1" w:styleId="Tablanormal213">
    <w:name w:val="Tabla normal 213"/>
    <w:basedOn w:val="Tablanormal"/>
    <w:uiPriority w:val="42"/>
    <w:rsid w:val="00C27D3B"/>
    <w:rPr>
      <w:rFonts w:ascii="Arial" w:eastAsia="Arial" w:hAnsi="Arial" w:cs="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20">
    <w:name w:val="Tabla con cuadrícula20"/>
    <w:basedOn w:val="Tablanormal"/>
    <w:next w:val="Tablaconcuadrcula"/>
    <w:uiPriority w:val="39"/>
    <w:rsid w:val="00C27D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1">
    <w:name w:val="Tabla normal 221"/>
    <w:basedOn w:val="Tablanormal"/>
    <w:uiPriority w:val="42"/>
    <w:rsid w:val="00C27D3B"/>
    <w:rPr>
      <w:rFonts w:ascii="Arial" w:eastAsia="Arial" w:hAnsi="Arial" w:cs="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encinsinresolver1">
    <w:name w:val="Mención sin resolver1"/>
    <w:uiPriority w:val="99"/>
    <w:semiHidden/>
    <w:unhideWhenUsed/>
    <w:rsid w:val="00C27D3B"/>
    <w:rPr>
      <w:color w:val="605E5C"/>
      <w:shd w:val="clear" w:color="auto" w:fill="E1DFDD"/>
    </w:rPr>
  </w:style>
  <w:style w:type="character" w:customStyle="1" w:styleId="markedcontent">
    <w:name w:val="markedcontent"/>
    <w:rsid w:val="00C27D3B"/>
  </w:style>
  <w:style w:type="table" w:styleId="Sombreadoclaro-nfasis1">
    <w:name w:val="Light Shading Accent 1"/>
    <w:basedOn w:val="Tablanormal"/>
    <w:uiPriority w:val="60"/>
    <w:semiHidden/>
    <w:unhideWhenUsed/>
    <w:rsid w:val="00C27D3B"/>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media1-nfasis3">
    <w:name w:val="Medium List 1 Accent 3"/>
    <w:basedOn w:val="Tablanormal"/>
    <w:uiPriority w:val="65"/>
    <w:semiHidden/>
    <w:unhideWhenUsed/>
    <w:rsid w:val="00C27D3B"/>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Tablaconcuadrcula21">
    <w:name w:val="Tabla con cuadrícula21"/>
    <w:basedOn w:val="Tablanormal"/>
    <w:next w:val="Tablaconcuadrcula"/>
    <w:uiPriority w:val="59"/>
    <w:rsid w:val="00844BEF"/>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E079C"/>
  </w:style>
  <w:style w:type="character" w:customStyle="1" w:styleId="hgkelc">
    <w:name w:val="hgkelc"/>
    <w:rsid w:val="001E079C"/>
  </w:style>
  <w:style w:type="character" w:customStyle="1" w:styleId="kx21rb">
    <w:name w:val="kx21rb"/>
    <w:rsid w:val="001E079C"/>
  </w:style>
  <w:style w:type="table" w:customStyle="1" w:styleId="Tablaconcuadrcula22">
    <w:name w:val="Tabla con cuadrícula22"/>
    <w:basedOn w:val="Tablanormal"/>
    <w:next w:val="Tablaconcuadrcula"/>
    <w:uiPriority w:val="39"/>
    <w:rsid w:val="001E079C"/>
    <w:pPr>
      <w:widowControl w:val="0"/>
    </w:pPr>
    <w:rPr>
      <w:rFonts w:ascii="Times New Roman" w:eastAsia="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1E079C"/>
    <w:pPr>
      <w:numPr>
        <w:numId w:val="0"/>
      </w:numPr>
      <w:spacing w:before="240" w:line="259" w:lineRule="auto"/>
      <w:jc w:val="left"/>
      <w:outlineLvl w:val="9"/>
    </w:pPr>
    <w:rPr>
      <w:rFonts w:ascii="Calibri Light" w:hAnsi="Calibri Light"/>
      <w:b w:val="0"/>
      <w:color w:val="2E74B5"/>
      <w:sz w:val="32"/>
      <w:szCs w:val="32"/>
      <w:lang w:val="es-EC" w:eastAsia="es-EC"/>
    </w:rPr>
  </w:style>
  <w:style w:type="character" w:customStyle="1" w:styleId="dyjrff">
    <w:name w:val="dyjrff"/>
    <w:rsid w:val="001E079C"/>
  </w:style>
  <w:style w:type="table" w:customStyle="1" w:styleId="Tablaconcuadrcula2-nfasis11">
    <w:name w:val="Tabla con cuadrícula 2 - Énfasis 11"/>
    <w:basedOn w:val="Tablanormal"/>
    <w:uiPriority w:val="47"/>
    <w:rsid w:val="001E079C"/>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2">
    <w:name w:val="Mención sin resolver2"/>
    <w:uiPriority w:val="99"/>
    <w:semiHidden/>
    <w:unhideWhenUsed/>
    <w:rsid w:val="001E079C"/>
    <w:rPr>
      <w:color w:val="605E5C"/>
      <w:shd w:val="clear" w:color="auto" w:fill="E1DFDD"/>
    </w:rPr>
  </w:style>
  <w:style w:type="character" w:customStyle="1" w:styleId="Mencinsinresolver3">
    <w:name w:val="Mención sin resolver3"/>
    <w:uiPriority w:val="99"/>
    <w:semiHidden/>
    <w:unhideWhenUsed/>
    <w:rsid w:val="001E079C"/>
    <w:rPr>
      <w:color w:val="605E5C"/>
      <w:shd w:val="clear" w:color="auto" w:fill="E1DFDD"/>
    </w:rPr>
  </w:style>
  <w:style w:type="table" w:customStyle="1" w:styleId="Tablanormal2111">
    <w:name w:val="Tabla normal 2111"/>
    <w:basedOn w:val="Tablanormal"/>
    <w:uiPriority w:val="42"/>
    <w:rsid w:val="007024BE"/>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4">
    <w:name w:val="Tabla normal 24"/>
    <w:basedOn w:val="Tablanormal"/>
    <w:next w:val="Tablanormal2"/>
    <w:uiPriority w:val="42"/>
    <w:rsid w:val="007024BE"/>
    <w:pPr>
      <w:widowControl w:val="0"/>
      <w:autoSpaceDE w:val="0"/>
      <w:autoSpaceDN w:val="0"/>
    </w:pPr>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4">
    <w:name w:val="Tabla normal 214"/>
    <w:basedOn w:val="Tablanormal"/>
    <w:uiPriority w:val="42"/>
    <w:rsid w:val="00751D46"/>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5">
    <w:name w:val="Sin lista5"/>
    <w:next w:val="Sinlista"/>
    <w:uiPriority w:val="99"/>
    <w:semiHidden/>
    <w:unhideWhenUsed/>
    <w:rsid w:val="007459F3"/>
  </w:style>
  <w:style w:type="character" w:customStyle="1" w:styleId="Vietas">
    <w:name w:val="Viñetas"/>
    <w:qFormat/>
    <w:rsid w:val="007459F3"/>
    <w:rPr>
      <w:rFonts w:ascii="OpenSymbol" w:eastAsia="OpenSymbol" w:hAnsi="OpenSymbol" w:cs="OpenSymbol"/>
    </w:rPr>
  </w:style>
  <w:style w:type="character" w:customStyle="1" w:styleId="Smbolosdenumeracin">
    <w:name w:val="Símbolos de numeración"/>
    <w:qFormat/>
    <w:rsid w:val="007459F3"/>
  </w:style>
  <w:style w:type="character" w:customStyle="1" w:styleId="EnlacedeInternet">
    <w:name w:val="Enlace de Internet"/>
    <w:rsid w:val="007459F3"/>
    <w:rPr>
      <w:color w:val="000080"/>
      <w:u w:val="single"/>
    </w:rPr>
  </w:style>
  <w:style w:type="paragraph" w:styleId="Lista">
    <w:name w:val="List"/>
    <w:basedOn w:val="Textoindependiente"/>
    <w:rsid w:val="007459F3"/>
    <w:pPr>
      <w:suppressAutoHyphens/>
      <w:spacing w:after="140" w:line="276" w:lineRule="auto"/>
      <w:jc w:val="left"/>
    </w:pPr>
    <w:rPr>
      <w:rFonts w:ascii="Liberation Serif" w:eastAsia="SimSun" w:hAnsi="Liberation Serif" w:cs="Lohit Devanagari"/>
      <w:kern w:val="2"/>
      <w:lang w:val="es-VE" w:eastAsia="zh-CN" w:bidi="hi-IN"/>
    </w:rPr>
  </w:style>
  <w:style w:type="paragraph" w:styleId="Descripcin">
    <w:name w:val="caption"/>
    <w:basedOn w:val="Normal"/>
    <w:uiPriority w:val="35"/>
    <w:qFormat/>
    <w:rsid w:val="007459F3"/>
    <w:pPr>
      <w:suppressLineNumbers/>
      <w:suppressAutoHyphens/>
      <w:spacing w:before="120" w:after="120" w:line="240" w:lineRule="auto"/>
    </w:pPr>
    <w:rPr>
      <w:rFonts w:ascii="Liberation Serif" w:eastAsia="SimSun" w:hAnsi="Liberation Serif" w:cs="Lohit Devanagari"/>
      <w:i/>
      <w:iCs/>
      <w:kern w:val="2"/>
      <w:sz w:val="24"/>
      <w:szCs w:val="24"/>
      <w:lang w:val="es-VE" w:eastAsia="zh-CN" w:bidi="hi-IN"/>
    </w:rPr>
  </w:style>
  <w:style w:type="paragraph" w:customStyle="1" w:styleId="ndice">
    <w:name w:val="Índice"/>
    <w:basedOn w:val="Normal"/>
    <w:qFormat/>
    <w:rsid w:val="007459F3"/>
    <w:pPr>
      <w:suppressLineNumbers/>
      <w:suppressAutoHyphens/>
      <w:spacing w:after="0" w:line="240" w:lineRule="auto"/>
    </w:pPr>
    <w:rPr>
      <w:rFonts w:ascii="Liberation Serif" w:eastAsia="SimSun" w:hAnsi="Liberation Serif" w:cs="Lohit Devanagari"/>
      <w:kern w:val="2"/>
      <w:sz w:val="24"/>
      <w:szCs w:val="24"/>
      <w:lang w:val="es-VE" w:eastAsia="zh-CN" w:bidi="hi-IN"/>
    </w:rPr>
  </w:style>
  <w:style w:type="table" w:customStyle="1" w:styleId="Tablaconcuadrcula23">
    <w:name w:val="Tabla con cuadrícula23"/>
    <w:basedOn w:val="Tablanormal"/>
    <w:next w:val="Tablaconcuadrcula"/>
    <w:uiPriority w:val="59"/>
    <w:rsid w:val="007459F3"/>
    <w:pPr>
      <w:suppressAutoHyphens/>
    </w:pPr>
    <w:rPr>
      <w:rFonts w:ascii="Liberation Serif" w:eastAsia="SimSun" w:hAnsi="Liberation Serif" w:cs="Lohit Devanagari"/>
      <w:kern w:val="2"/>
      <w:szCs w:val="24"/>
      <w:lang w:val="es-V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exto">
    <w:name w:val="a-texto"/>
    <w:basedOn w:val="Normal"/>
    <w:qFormat/>
    <w:rsid w:val="007459F3"/>
    <w:pPr>
      <w:suppressAutoHyphens/>
      <w:overflowPunct w:val="0"/>
      <w:spacing w:before="280" w:after="280" w:line="240" w:lineRule="auto"/>
    </w:pPr>
    <w:rPr>
      <w:rFonts w:ascii="Times New Roman" w:eastAsia="Times New Roman" w:hAnsi="Times New Roman"/>
      <w:sz w:val="24"/>
      <w:szCs w:val="24"/>
      <w:lang w:val="es-MX" w:eastAsia="es-MX"/>
    </w:rPr>
  </w:style>
  <w:style w:type="character" w:customStyle="1" w:styleId="mw-editsection-bracket">
    <w:name w:val="mw-editsection-bracket"/>
    <w:rsid w:val="007459F3"/>
  </w:style>
  <w:style w:type="character" w:customStyle="1" w:styleId="jlqj4b">
    <w:name w:val="jlqj4b"/>
    <w:rsid w:val="007459F3"/>
  </w:style>
  <w:style w:type="character" w:customStyle="1" w:styleId="viiyi">
    <w:name w:val="viiyi"/>
    <w:rsid w:val="007459F3"/>
  </w:style>
  <w:style w:type="table" w:customStyle="1" w:styleId="Tablaconcuadrcula24">
    <w:name w:val="Tabla con cuadrícula24"/>
    <w:basedOn w:val="Tablanormal"/>
    <w:next w:val="Tablaconcuadrcula"/>
    <w:rsid w:val="00907C6E"/>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647988"/>
  </w:style>
  <w:style w:type="paragraph" w:customStyle="1" w:styleId="msolistparagraph0">
    <w:name w:val="msolistparagraph"/>
    <w:basedOn w:val="Normal"/>
    <w:rsid w:val="00647988"/>
    <w:pPr>
      <w:spacing w:after="200" w:line="276" w:lineRule="auto"/>
      <w:ind w:left="720"/>
    </w:pPr>
    <w:rPr>
      <w:rFonts w:cs="Calibri"/>
      <w:lang w:val="es-ES"/>
    </w:rPr>
  </w:style>
  <w:style w:type="character" w:customStyle="1" w:styleId="cuerpoc">
    <w:name w:val="cuerpoc"/>
    <w:rsid w:val="00647988"/>
  </w:style>
  <w:style w:type="table" w:customStyle="1" w:styleId="Tablaconcuadrcula25">
    <w:name w:val="Tabla con cuadrícula25"/>
    <w:basedOn w:val="Tablanormal"/>
    <w:next w:val="Tablaconcuadrcula"/>
    <w:uiPriority w:val="39"/>
    <w:rsid w:val="00647988"/>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5">
    <w:name w:val="Tabla normal 25"/>
    <w:basedOn w:val="Tablanormal"/>
    <w:next w:val="Tablanormal2"/>
    <w:uiPriority w:val="42"/>
    <w:rsid w:val="00647988"/>
    <w:rPr>
      <w:sz w:val="22"/>
      <w:szCs w:val="22"/>
      <w:lang w:val="es-PE"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26">
    <w:name w:val="Tabla con cuadrícula26"/>
    <w:basedOn w:val="Tablanormal"/>
    <w:next w:val="Tablaconcuadrcula"/>
    <w:uiPriority w:val="39"/>
    <w:rsid w:val="003746A0"/>
    <w:rPr>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5">
    <w:name w:val="Tabla de lista 6 con colores5"/>
    <w:basedOn w:val="Tablanormal"/>
    <w:next w:val="Tabladelista6concolores"/>
    <w:uiPriority w:val="51"/>
    <w:rsid w:val="00B81066"/>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7">
    <w:name w:val="Tabla con cuadrícula27"/>
    <w:basedOn w:val="Tablanormal"/>
    <w:next w:val="Tablaconcuadrcula"/>
    <w:uiPriority w:val="59"/>
    <w:rsid w:val="008F0C46"/>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tablaAPA">
    <w:name w:val="Estilo tabla APA"/>
    <w:basedOn w:val="Tablanormal"/>
    <w:uiPriority w:val="99"/>
    <w:rsid w:val="006B5E14"/>
    <w:pPr>
      <w:spacing w:line="360" w:lineRule="auto"/>
    </w:pPr>
    <w:rPr>
      <w:rFonts w:ascii="Arial" w:hAnsi="Arial"/>
      <w:sz w:val="22"/>
      <w:szCs w:val="22"/>
      <w:lang w:val="es-PE" w:eastAsia="en-US"/>
    </w:r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tblStylePr w:type="lastRow">
      <w:tblPr/>
      <w:tcPr>
        <w:tcBorders>
          <w:top w:val="single" w:sz="4" w:space="0" w:color="auto"/>
        </w:tcBorders>
      </w:tcPr>
    </w:tblStylePr>
  </w:style>
  <w:style w:type="table" w:customStyle="1" w:styleId="Sombreadoclaro2">
    <w:name w:val="Sombreado claro2"/>
    <w:basedOn w:val="Tablanormal"/>
    <w:next w:val="Sombreadoclaro"/>
    <w:uiPriority w:val="60"/>
    <w:rsid w:val="006B5E14"/>
    <w:pPr>
      <w:ind w:firstLine="720"/>
    </w:pPr>
    <w:rPr>
      <w:color w:val="000000"/>
      <w:sz w:val="22"/>
      <w:szCs w:val="22"/>
      <w:lang w:val="es-VE"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normal215">
    <w:name w:val="Tabla normal 215"/>
    <w:basedOn w:val="Tablanormal"/>
    <w:uiPriority w:val="42"/>
    <w:rsid w:val="008F4874"/>
    <w:rPr>
      <w:sz w:val="22"/>
      <w:szCs w:val="22"/>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7">
    <w:name w:val="Sin lista7"/>
    <w:next w:val="Sinlista"/>
    <w:uiPriority w:val="99"/>
    <w:semiHidden/>
    <w:unhideWhenUsed/>
    <w:rsid w:val="00C93CC0"/>
  </w:style>
  <w:style w:type="table" w:customStyle="1" w:styleId="TableNormal3">
    <w:name w:val="Table Normal3"/>
    <w:uiPriority w:val="2"/>
    <w:semiHidden/>
    <w:unhideWhenUsed/>
    <w:qFormat/>
    <w:rsid w:val="00C93CC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3CC0"/>
    <w:pPr>
      <w:widowControl w:val="0"/>
      <w:autoSpaceDE w:val="0"/>
      <w:autoSpaceDN w:val="0"/>
      <w:spacing w:after="0" w:line="240" w:lineRule="auto"/>
    </w:pPr>
    <w:rPr>
      <w:rFonts w:ascii="Times New Roman" w:eastAsia="Times New Roman" w:hAnsi="Times New Roman"/>
      <w:lang w:eastAsia="es-EC" w:bidi="es-EC"/>
    </w:rPr>
  </w:style>
  <w:style w:type="table" w:customStyle="1" w:styleId="Tablanormal26">
    <w:name w:val="Tabla normal 26"/>
    <w:basedOn w:val="Tablanormal"/>
    <w:next w:val="Tablanormal2"/>
    <w:uiPriority w:val="42"/>
    <w:rsid w:val="00C93CC0"/>
    <w:rPr>
      <w:sz w:val="22"/>
      <w:szCs w:val="22"/>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1">
    <w:name w:val="Tabla normal 41"/>
    <w:basedOn w:val="Tablanormal"/>
    <w:next w:val="Tablanormal4"/>
    <w:uiPriority w:val="44"/>
    <w:rsid w:val="00C93CC0"/>
    <w:pPr>
      <w:jc w:val="right"/>
    </w:pPr>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C93C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3865222849orc-font-body-large">
    <w:name w:val="yiv3865222849orc-font-body-large"/>
    <w:rsid w:val="00C93CC0"/>
  </w:style>
  <w:style w:type="table" w:customStyle="1" w:styleId="Tablaconcuadrcula29">
    <w:name w:val="Tabla con cuadrícula29"/>
    <w:basedOn w:val="Tablanormal"/>
    <w:next w:val="Tablaconcuadrcula"/>
    <w:uiPriority w:val="39"/>
    <w:rsid w:val="005212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13042"/>
    <w:rPr>
      <w:rFonts w:eastAsia="Times New Roman"/>
      <w:sz w:val="22"/>
      <w:szCs w:val="22"/>
    </w:rPr>
    <w:tblPr>
      <w:tblCellMar>
        <w:top w:w="0" w:type="dxa"/>
        <w:left w:w="0" w:type="dxa"/>
        <w:bottom w:w="0" w:type="dxa"/>
        <w:right w:w="0" w:type="dxa"/>
      </w:tblCellMar>
    </w:tblPr>
  </w:style>
  <w:style w:type="numbering" w:customStyle="1" w:styleId="Sinlista8">
    <w:name w:val="Sin lista8"/>
    <w:next w:val="Sinlista"/>
    <w:uiPriority w:val="99"/>
    <w:semiHidden/>
    <w:unhideWhenUsed/>
    <w:rsid w:val="000A6051"/>
  </w:style>
  <w:style w:type="table" w:customStyle="1" w:styleId="Tablaconcuadrcula30">
    <w:name w:val="Tabla con cuadrícula30"/>
    <w:basedOn w:val="Tablanormal"/>
    <w:next w:val="Tablaconcuadrcula"/>
    <w:uiPriority w:val="39"/>
    <w:rsid w:val="000A605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1">
    <w:name w:val="Tab1"/>
    <w:basedOn w:val="Ttulo1"/>
    <w:link w:val="Tab1Car"/>
    <w:qFormat/>
    <w:rsid w:val="000A6051"/>
    <w:pPr>
      <w:numPr>
        <w:numId w:val="0"/>
      </w:numPr>
      <w:jc w:val="left"/>
    </w:pPr>
    <w:rPr>
      <w:rFonts w:ascii="Times New Roman" w:hAnsi="Times New Roman"/>
      <w:bCs/>
      <w:color w:val="2E74B5"/>
      <w:sz w:val="18"/>
      <w:szCs w:val="18"/>
      <w:lang w:val="es-ES_tradnl"/>
    </w:rPr>
  </w:style>
  <w:style w:type="character" w:customStyle="1" w:styleId="Tab1Car">
    <w:name w:val="Tab1 Car"/>
    <w:link w:val="Tab1"/>
    <w:rsid w:val="000A6051"/>
    <w:rPr>
      <w:rFonts w:ascii="Times New Roman" w:eastAsia="Times New Roman" w:hAnsi="Times New Roman"/>
      <w:b/>
      <w:bCs/>
      <w:color w:val="2E74B5"/>
      <w:sz w:val="18"/>
      <w:szCs w:val="18"/>
      <w:lang w:val="es-ES_tradnl" w:eastAsia="es-ES"/>
    </w:rPr>
  </w:style>
  <w:style w:type="paragraph" w:customStyle="1" w:styleId="fig1">
    <w:name w:val="fig1"/>
    <w:basedOn w:val="Normal"/>
    <w:link w:val="fig1Car"/>
    <w:qFormat/>
    <w:rsid w:val="000A6051"/>
    <w:pPr>
      <w:spacing w:after="0" w:line="360" w:lineRule="auto"/>
      <w:ind w:left="360"/>
      <w:jc w:val="center"/>
    </w:pPr>
    <w:rPr>
      <w:rFonts w:ascii="Times New Roman" w:eastAsia="Times New Roman" w:hAnsi="Times New Roman"/>
      <w:lang w:val="es-ES_tradnl" w:eastAsia="es-ES"/>
    </w:rPr>
  </w:style>
  <w:style w:type="character" w:customStyle="1" w:styleId="fig1Car">
    <w:name w:val="fig1 Car"/>
    <w:link w:val="fig1"/>
    <w:rsid w:val="000A6051"/>
    <w:rPr>
      <w:rFonts w:ascii="Times New Roman" w:eastAsia="Times New Roman" w:hAnsi="Times New Roman"/>
      <w:sz w:val="22"/>
      <w:szCs w:val="22"/>
      <w:lang w:val="es-ES_tradnl" w:eastAsia="es-ES"/>
    </w:rPr>
  </w:style>
  <w:style w:type="table" w:customStyle="1" w:styleId="Tabladecuadrcula4-nfasis51">
    <w:name w:val="Tabla de cuadrícula 4 - Énfasis 51"/>
    <w:basedOn w:val="Tablanormal"/>
    <w:uiPriority w:val="49"/>
    <w:rsid w:val="000A6051"/>
    <w:rPr>
      <w:sz w:val="22"/>
      <w:szCs w:val="22"/>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xtodelmarcadordeposicin">
    <w:name w:val="Placeholder Text"/>
    <w:uiPriority w:val="99"/>
    <w:semiHidden/>
    <w:rsid w:val="000A6051"/>
    <w:rPr>
      <w:color w:val="808080"/>
    </w:rPr>
  </w:style>
  <w:style w:type="paragraph" w:customStyle="1" w:styleId="FuenteyRealizado">
    <w:name w:val="Fuente y Realizado"/>
    <w:basedOn w:val="Descripcin"/>
    <w:link w:val="FuenteyRealizadoCar"/>
    <w:qFormat/>
    <w:rsid w:val="000A6051"/>
    <w:pPr>
      <w:suppressLineNumbers w:val="0"/>
      <w:suppressAutoHyphens w:val="0"/>
      <w:spacing w:before="0" w:after="0" w:line="360" w:lineRule="auto"/>
      <w:mirrorIndents/>
    </w:pPr>
    <w:rPr>
      <w:rFonts w:ascii="Times New Roman" w:eastAsia="Calibri" w:hAnsi="Times New Roman" w:cs="Times New Roman"/>
      <w:i w:val="0"/>
      <w:kern w:val="0"/>
      <w:sz w:val="16"/>
      <w:szCs w:val="18"/>
      <w:lang w:val="es-ES" w:eastAsia="en-US" w:bidi="ar-SA"/>
    </w:rPr>
  </w:style>
  <w:style w:type="character" w:customStyle="1" w:styleId="FuenteyRealizadoCar">
    <w:name w:val="Fuente y Realizado Car"/>
    <w:link w:val="FuenteyRealizado"/>
    <w:rsid w:val="000A6051"/>
    <w:rPr>
      <w:rFonts w:ascii="Times New Roman" w:hAnsi="Times New Roman"/>
      <w:iCs/>
      <w:sz w:val="16"/>
      <w:szCs w:val="18"/>
      <w:lang w:val="es-ES" w:eastAsia="en-US"/>
    </w:rPr>
  </w:style>
  <w:style w:type="paragraph" w:customStyle="1" w:styleId="TDC41">
    <w:name w:val="TDC 41"/>
    <w:basedOn w:val="Normal"/>
    <w:next w:val="Normal"/>
    <w:autoRedefine/>
    <w:uiPriority w:val="39"/>
    <w:unhideWhenUsed/>
    <w:rsid w:val="000A6051"/>
    <w:pPr>
      <w:spacing w:after="100" w:line="360" w:lineRule="auto"/>
      <w:ind w:left="660"/>
    </w:pPr>
    <w:rPr>
      <w:rFonts w:eastAsia="Times New Roman"/>
      <w:lang w:val="en-US"/>
    </w:rPr>
  </w:style>
  <w:style w:type="paragraph" w:customStyle="1" w:styleId="TDC51">
    <w:name w:val="TDC 51"/>
    <w:basedOn w:val="Normal"/>
    <w:next w:val="Normal"/>
    <w:autoRedefine/>
    <w:uiPriority w:val="39"/>
    <w:unhideWhenUsed/>
    <w:rsid w:val="000A6051"/>
    <w:pPr>
      <w:spacing w:after="100" w:line="360" w:lineRule="auto"/>
      <w:ind w:left="880"/>
    </w:pPr>
    <w:rPr>
      <w:rFonts w:eastAsia="Times New Roman"/>
      <w:lang w:val="en-US"/>
    </w:rPr>
  </w:style>
  <w:style w:type="paragraph" w:customStyle="1" w:styleId="TDC61">
    <w:name w:val="TDC 61"/>
    <w:basedOn w:val="Normal"/>
    <w:next w:val="Normal"/>
    <w:autoRedefine/>
    <w:uiPriority w:val="39"/>
    <w:unhideWhenUsed/>
    <w:rsid w:val="000A6051"/>
    <w:pPr>
      <w:spacing w:after="100" w:line="360" w:lineRule="auto"/>
      <w:ind w:left="1100"/>
    </w:pPr>
    <w:rPr>
      <w:rFonts w:eastAsia="Times New Roman"/>
      <w:lang w:val="en-US"/>
    </w:rPr>
  </w:style>
  <w:style w:type="paragraph" w:customStyle="1" w:styleId="TDC71">
    <w:name w:val="TDC 71"/>
    <w:basedOn w:val="Normal"/>
    <w:next w:val="Normal"/>
    <w:autoRedefine/>
    <w:uiPriority w:val="39"/>
    <w:unhideWhenUsed/>
    <w:rsid w:val="000A6051"/>
    <w:pPr>
      <w:spacing w:after="100" w:line="360" w:lineRule="auto"/>
      <w:ind w:left="1320"/>
    </w:pPr>
    <w:rPr>
      <w:rFonts w:eastAsia="Times New Roman"/>
      <w:lang w:val="en-US"/>
    </w:rPr>
  </w:style>
  <w:style w:type="paragraph" w:customStyle="1" w:styleId="TDC81">
    <w:name w:val="TDC 81"/>
    <w:basedOn w:val="Normal"/>
    <w:next w:val="Normal"/>
    <w:autoRedefine/>
    <w:uiPriority w:val="39"/>
    <w:unhideWhenUsed/>
    <w:rsid w:val="000A6051"/>
    <w:pPr>
      <w:spacing w:after="100" w:line="360" w:lineRule="auto"/>
      <w:ind w:left="1540"/>
    </w:pPr>
    <w:rPr>
      <w:rFonts w:eastAsia="Times New Roman"/>
      <w:lang w:val="en-US"/>
    </w:rPr>
  </w:style>
  <w:style w:type="paragraph" w:customStyle="1" w:styleId="TDC91">
    <w:name w:val="TDC 91"/>
    <w:basedOn w:val="Normal"/>
    <w:next w:val="Normal"/>
    <w:autoRedefine/>
    <w:uiPriority w:val="39"/>
    <w:unhideWhenUsed/>
    <w:rsid w:val="000A6051"/>
    <w:pPr>
      <w:spacing w:after="100" w:line="360" w:lineRule="auto"/>
      <w:ind w:left="1760"/>
    </w:pPr>
    <w:rPr>
      <w:rFonts w:eastAsia="Times New Roman"/>
      <w:lang w:val="en-US"/>
    </w:rPr>
  </w:style>
  <w:style w:type="paragraph" w:customStyle="1" w:styleId="graf">
    <w:name w:val="graf"/>
    <w:basedOn w:val="Normal"/>
    <w:link w:val="grafCar"/>
    <w:qFormat/>
    <w:rsid w:val="000A6051"/>
    <w:pPr>
      <w:spacing w:after="0" w:line="360" w:lineRule="auto"/>
      <w:jc w:val="center"/>
    </w:pPr>
    <w:rPr>
      <w:rFonts w:ascii="Times New Roman" w:eastAsia="Times New Roman" w:hAnsi="Times New Roman"/>
      <w:b/>
      <w:lang w:val="es-ES" w:eastAsia="es-ES"/>
    </w:rPr>
  </w:style>
  <w:style w:type="paragraph" w:customStyle="1" w:styleId="Anex">
    <w:name w:val="Anex"/>
    <w:basedOn w:val="Normal"/>
    <w:link w:val="AnexCar"/>
    <w:qFormat/>
    <w:rsid w:val="000A6051"/>
    <w:pPr>
      <w:spacing w:after="0" w:line="360" w:lineRule="auto"/>
    </w:pPr>
    <w:rPr>
      <w:rFonts w:ascii="Times New Roman" w:hAnsi="Times New Roman"/>
      <w:b/>
      <w:lang w:val="es-ES"/>
    </w:rPr>
  </w:style>
  <w:style w:type="character" w:customStyle="1" w:styleId="grafCar">
    <w:name w:val="graf Car"/>
    <w:link w:val="graf"/>
    <w:rsid w:val="000A6051"/>
    <w:rPr>
      <w:rFonts w:ascii="Times New Roman" w:eastAsia="Times New Roman" w:hAnsi="Times New Roman"/>
      <w:b/>
      <w:sz w:val="22"/>
      <w:szCs w:val="22"/>
      <w:lang w:val="es-ES" w:eastAsia="es-ES"/>
    </w:rPr>
  </w:style>
  <w:style w:type="character" w:customStyle="1" w:styleId="AnexCar">
    <w:name w:val="Anex Car"/>
    <w:link w:val="Anex"/>
    <w:rsid w:val="000A6051"/>
    <w:rPr>
      <w:rFonts w:ascii="Times New Roman" w:hAnsi="Times New Roman"/>
      <w:b/>
      <w:sz w:val="22"/>
      <w:szCs w:val="22"/>
      <w:lang w:val="es-ES" w:eastAsia="en-US"/>
    </w:rPr>
  </w:style>
  <w:style w:type="table" w:customStyle="1" w:styleId="Tablanormal216">
    <w:name w:val="Tabla normal 216"/>
    <w:basedOn w:val="Tablanormal"/>
    <w:uiPriority w:val="42"/>
    <w:rsid w:val="000A6051"/>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abel">
    <w:name w:val="label"/>
    <w:rsid w:val="000A6051"/>
  </w:style>
  <w:style w:type="table" w:customStyle="1" w:styleId="Tablanormal42">
    <w:name w:val="Tabla normal 42"/>
    <w:basedOn w:val="Tablanormal"/>
    <w:next w:val="Tablanormal4"/>
    <w:uiPriority w:val="44"/>
    <w:rsid w:val="002258C4"/>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9724">
      <w:bodyDiv w:val="1"/>
      <w:marLeft w:val="0"/>
      <w:marRight w:val="0"/>
      <w:marTop w:val="0"/>
      <w:marBottom w:val="0"/>
      <w:divBdr>
        <w:top w:val="none" w:sz="0" w:space="0" w:color="auto"/>
        <w:left w:val="none" w:sz="0" w:space="0" w:color="auto"/>
        <w:bottom w:val="none" w:sz="0" w:space="0" w:color="auto"/>
        <w:right w:val="none" w:sz="0" w:space="0" w:color="auto"/>
      </w:divBdr>
    </w:div>
    <w:div w:id="159397485">
      <w:bodyDiv w:val="1"/>
      <w:marLeft w:val="0"/>
      <w:marRight w:val="0"/>
      <w:marTop w:val="0"/>
      <w:marBottom w:val="0"/>
      <w:divBdr>
        <w:top w:val="none" w:sz="0" w:space="0" w:color="auto"/>
        <w:left w:val="none" w:sz="0" w:space="0" w:color="auto"/>
        <w:bottom w:val="none" w:sz="0" w:space="0" w:color="auto"/>
        <w:right w:val="none" w:sz="0" w:space="0" w:color="auto"/>
      </w:divBdr>
      <w:divsChild>
        <w:div w:id="1360859968">
          <w:marLeft w:val="0"/>
          <w:marRight w:val="0"/>
          <w:marTop w:val="0"/>
          <w:marBottom w:val="0"/>
          <w:divBdr>
            <w:top w:val="none" w:sz="0" w:space="0" w:color="auto"/>
            <w:left w:val="none" w:sz="0" w:space="0" w:color="auto"/>
            <w:bottom w:val="none" w:sz="0" w:space="0" w:color="auto"/>
            <w:right w:val="none" w:sz="0" w:space="0" w:color="auto"/>
          </w:divBdr>
          <w:divsChild>
            <w:div w:id="1931235489">
              <w:marLeft w:val="0"/>
              <w:marRight w:val="0"/>
              <w:marTop w:val="0"/>
              <w:marBottom w:val="0"/>
              <w:divBdr>
                <w:top w:val="none" w:sz="0" w:space="0" w:color="auto"/>
                <w:left w:val="none" w:sz="0" w:space="0" w:color="auto"/>
                <w:bottom w:val="none" w:sz="0" w:space="0" w:color="auto"/>
                <w:right w:val="none" w:sz="0" w:space="0" w:color="auto"/>
              </w:divBdr>
              <w:divsChild>
                <w:div w:id="1341739363">
                  <w:marLeft w:val="0"/>
                  <w:marRight w:val="0"/>
                  <w:marTop w:val="0"/>
                  <w:marBottom w:val="0"/>
                  <w:divBdr>
                    <w:top w:val="none" w:sz="0" w:space="0" w:color="auto"/>
                    <w:left w:val="none" w:sz="0" w:space="0" w:color="auto"/>
                    <w:bottom w:val="none" w:sz="0" w:space="0" w:color="auto"/>
                    <w:right w:val="none" w:sz="0" w:space="0" w:color="auto"/>
                  </w:divBdr>
                  <w:divsChild>
                    <w:div w:id="892698318">
                      <w:marLeft w:val="0"/>
                      <w:marRight w:val="0"/>
                      <w:marTop w:val="0"/>
                      <w:marBottom w:val="0"/>
                      <w:divBdr>
                        <w:top w:val="none" w:sz="0" w:space="0" w:color="auto"/>
                        <w:left w:val="none" w:sz="0" w:space="0" w:color="auto"/>
                        <w:bottom w:val="none" w:sz="0" w:space="0" w:color="auto"/>
                        <w:right w:val="none" w:sz="0" w:space="0" w:color="auto"/>
                      </w:divBdr>
                      <w:divsChild>
                        <w:div w:id="392588043">
                          <w:marLeft w:val="0"/>
                          <w:marRight w:val="0"/>
                          <w:marTop w:val="0"/>
                          <w:marBottom w:val="0"/>
                          <w:divBdr>
                            <w:top w:val="none" w:sz="0" w:space="0" w:color="auto"/>
                            <w:left w:val="none" w:sz="0" w:space="0" w:color="auto"/>
                            <w:bottom w:val="none" w:sz="0" w:space="0" w:color="auto"/>
                            <w:right w:val="none" w:sz="0" w:space="0" w:color="auto"/>
                          </w:divBdr>
                          <w:divsChild>
                            <w:div w:id="5332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3384">
      <w:bodyDiv w:val="1"/>
      <w:marLeft w:val="0"/>
      <w:marRight w:val="0"/>
      <w:marTop w:val="0"/>
      <w:marBottom w:val="0"/>
      <w:divBdr>
        <w:top w:val="none" w:sz="0" w:space="0" w:color="auto"/>
        <w:left w:val="none" w:sz="0" w:space="0" w:color="auto"/>
        <w:bottom w:val="none" w:sz="0" w:space="0" w:color="auto"/>
        <w:right w:val="none" w:sz="0" w:space="0" w:color="auto"/>
      </w:divBdr>
    </w:div>
    <w:div w:id="207763362">
      <w:bodyDiv w:val="1"/>
      <w:marLeft w:val="0"/>
      <w:marRight w:val="0"/>
      <w:marTop w:val="0"/>
      <w:marBottom w:val="0"/>
      <w:divBdr>
        <w:top w:val="none" w:sz="0" w:space="0" w:color="auto"/>
        <w:left w:val="none" w:sz="0" w:space="0" w:color="auto"/>
        <w:bottom w:val="none" w:sz="0" w:space="0" w:color="auto"/>
        <w:right w:val="none" w:sz="0" w:space="0" w:color="auto"/>
      </w:divBdr>
    </w:div>
    <w:div w:id="234821800">
      <w:bodyDiv w:val="1"/>
      <w:marLeft w:val="0"/>
      <w:marRight w:val="0"/>
      <w:marTop w:val="0"/>
      <w:marBottom w:val="0"/>
      <w:divBdr>
        <w:top w:val="none" w:sz="0" w:space="0" w:color="auto"/>
        <w:left w:val="none" w:sz="0" w:space="0" w:color="auto"/>
        <w:bottom w:val="none" w:sz="0" w:space="0" w:color="auto"/>
        <w:right w:val="none" w:sz="0" w:space="0" w:color="auto"/>
      </w:divBdr>
    </w:div>
    <w:div w:id="370494540">
      <w:bodyDiv w:val="1"/>
      <w:marLeft w:val="0"/>
      <w:marRight w:val="0"/>
      <w:marTop w:val="0"/>
      <w:marBottom w:val="0"/>
      <w:divBdr>
        <w:top w:val="none" w:sz="0" w:space="0" w:color="auto"/>
        <w:left w:val="none" w:sz="0" w:space="0" w:color="auto"/>
        <w:bottom w:val="none" w:sz="0" w:space="0" w:color="auto"/>
        <w:right w:val="none" w:sz="0" w:space="0" w:color="auto"/>
      </w:divBdr>
      <w:divsChild>
        <w:div w:id="2035425920">
          <w:marLeft w:val="0"/>
          <w:marRight w:val="0"/>
          <w:marTop w:val="0"/>
          <w:marBottom w:val="0"/>
          <w:divBdr>
            <w:top w:val="none" w:sz="0" w:space="0" w:color="auto"/>
            <w:left w:val="none" w:sz="0" w:space="0" w:color="auto"/>
            <w:bottom w:val="none" w:sz="0" w:space="0" w:color="auto"/>
            <w:right w:val="none" w:sz="0" w:space="0" w:color="auto"/>
          </w:divBdr>
          <w:divsChild>
            <w:div w:id="1042023828">
              <w:marLeft w:val="0"/>
              <w:marRight w:val="0"/>
              <w:marTop w:val="0"/>
              <w:marBottom w:val="0"/>
              <w:divBdr>
                <w:top w:val="none" w:sz="0" w:space="0" w:color="auto"/>
                <w:left w:val="none" w:sz="0" w:space="0" w:color="auto"/>
                <w:bottom w:val="none" w:sz="0" w:space="0" w:color="auto"/>
                <w:right w:val="none" w:sz="0" w:space="0" w:color="auto"/>
              </w:divBdr>
              <w:divsChild>
                <w:div w:id="1514758613">
                  <w:marLeft w:val="0"/>
                  <w:marRight w:val="0"/>
                  <w:marTop w:val="0"/>
                  <w:marBottom w:val="0"/>
                  <w:divBdr>
                    <w:top w:val="none" w:sz="0" w:space="0" w:color="auto"/>
                    <w:left w:val="none" w:sz="0" w:space="0" w:color="auto"/>
                    <w:bottom w:val="none" w:sz="0" w:space="0" w:color="auto"/>
                    <w:right w:val="none" w:sz="0" w:space="0" w:color="auto"/>
                  </w:divBdr>
                  <w:divsChild>
                    <w:div w:id="633683064">
                      <w:marLeft w:val="0"/>
                      <w:marRight w:val="0"/>
                      <w:marTop w:val="0"/>
                      <w:marBottom w:val="0"/>
                      <w:divBdr>
                        <w:top w:val="none" w:sz="0" w:space="0" w:color="auto"/>
                        <w:left w:val="none" w:sz="0" w:space="0" w:color="auto"/>
                        <w:bottom w:val="none" w:sz="0" w:space="0" w:color="auto"/>
                        <w:right w:val="none" w:sz="0" w:space="0" w:color="auto"/>
                      </w:divBdr>
                      <w:divsChild>
                        <w:div w:id="1806577388">
                          <w:marLeft w:val="0"/>
                          <w:marRight w:val="0"/>
                          <w:marTop w:val="0"/>
                          <w:marBottom w:val="0"/>
                          <w:divBdr>
                            <w:top w:val="none" w:sz="0" w:space="0" w:color="auto"/>
                            <w:left w:val="none" w:sz="0" w:space="0" w:color="auto"/>
                            <w:bottom w:val="none" w:sz="0" w:space="0" w:color="auto"/>
                            <w:right w:val="none" w:sz="0" w:space="0" w:color="auto"/>
                          </w:divBdr>
                          <w:divsChild>
                            <w:div w:id="4263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3775">
      <w:bodyDiv w:val="1"/>
      <w:marLeft w:val="0"/>
      <w:marRight w:val="0"/>
      <w:marTop w:val="0"/>
      <w:marBottom w:val="0"/>
      <w:divBdr>
        <w:top w:val="none" w:sz="0" w:space="0" w:color="auto"/>
        <w:left w:val="none" w:sz="0" w:space="0" w:color="auto"/>
        <w:bottom w:val="none" w:sz="0" w:space="0" w:color="auto"/>
        <w:right w:val="none" w:sz="0" w:space="0" w:color="auto"/>
      </w:divBdr>
    </w:div>
    <w:div w:id="398021929">
      <w:bodyDiv w:val="1"/>
      <w:marLeft w:val="0"/>
      <w:marRight w:val="0"/>
      <w:marTop w:val="0"/>
      <w:marBottom w:val="0"/>
      <w:divBdr>
        <w:top w:val="none" w:sz="0" w:space="0" w:color="auto"/>
        <w:left w:val="none" w:sz="0" w:space="0" w:color="auto"/>
        <w:bottom w:val="none" w:sz="0" w:space="0" w:color="auto"/>
        <w:right w:val="none" w:sz="0" w:space="0" w:color="auto"/>
      </w:divBdr>
    </w:div>
    <w:div w:id="410589064">
      <w:bodyDiv w:val="1"/>
      <w:marLeft w:val="0"/>
      <w:marRight w:val="0"/>
      <w:marTop w:val="0"/>
      <w:marBottom w:val="0"/>
      <w:divBdr>
        <w:top w:val="none" w:sz="0" w:space="0" w:color="auto"/>
        <w:left w:val="none" w:sz="0" w:space="0" w:color="auto"/>
        <w:bottom w:val="none" w:sz="0" w:space="0" w:color="auto"/>
        <w:right w:val="none" w:sz="0" w:space="0" w:color="auto"/>
      </w:divBdr>
    </w:div>
    <w:div w:id="413431792">
      <w:bodyDiv w:val="1"/>
      <w:marLeft w:val="0"/>
      <w:marRight w:val="0"/>
      <w:marTop w:val="0"/>
      <w:marBottom w:val="0"/>
      <w:divBdr>
        <w:top w:val="none" w:sz="0" w:space="0" w:color="auto"/>
        <w:left w:val="none" w:sz="0" w:space="0" w:color="auto"/>
        <w:bottom w:val="none" w:sz="0" w:space="0" w:color="auto"/>
        <w:right w:val="none" w:sz="0" w:space="0" w:color="auto"/>
      </w:divBdr>
    </w:div>
    <w:div w:id="565838766">
      <w:bodyDiv w:val="1"/>
      <w:marLeft w:val="0"/>
      <w:marRight w:val="0"/>
      <w:marTop w:val="0"/>
      <w:marBottom w:val="0"/>
      <w:divBdr>
        <w:top w:val="none" w:sz="0" w:space="0" w:color="auto"/>
        <w:left w:val="none" w:sz="0" w:space="0" w:color="auto"/>
        <w:bottom w:val="none" w:sz="0" w:space="0" w:color="auto"/>
        <w:right w:val="none" w:sz="0" w:space="0" w:color="auto"/>
      </w:divBdr>
    </w:div>
    <w:div w:id="587231684">
      <w:bodyDiv w:val="1"/>
      <w:marLeft w:val="0"/>
      <w:marRight w:val="0"/>
      <w:marTop w:val="0"/>
      <w:marBottom w:val="0"/>
      <w:divBdr>
        <w:top w:val="none" w:sz="0" w:space="0" w:color="auto"/>
        <w:left w:val="none" w:sz="0" w:space="0" w:color="auto"/>
        <w:bottom w:val="none" w:sz="0" w:space="0" w:color="auto"/>
        <w:right w:val="none" w:sz="0" w:space="0" w:color="auto"/>
      </w:divBdr>
    </w:div>
    <w:div w:id="608657111">
      <w:bodyDiv w:val="1"/>
      <w:marLeft w:val="0"/>
      <w:marRight w:val="0"/>
      <w:marTop w:val="0"/>
      <w:marBottom w:val="0"/>
      <w:divBdr>
        <w:top w:val="none" w:sz="0" w:space="0" w:color="auto"/>
        <w:left w:val="none" w:sz="0" w:space="0" w:color="auto"/>
        <w:bottom w:val="none" w:sz="0" w:space="0" w:color="auto"/>
        <w:right w:val="none" w:sz="0" w:space="0" w:color="auto"/>
      </w:divBdr>
      <w:divsChild>
        <w:div w:id="1556699270">
          <w:marLeft w:val="0"/>
          <w:marRight w:val="0"/>
          <w:marTop w:val="0"/>
          <w:marBottom w:val="0"/>
          <w:divBdr>
            <w:top w:val="none" w:sz="0" w:space="0" w:color="auto"/>
            <w:left w:val="none" w:sz="0" w:space="0" w:color="auto"/>
            <w:bottom w:val="none" w:sz="0" w:space="0" w:color="auto"/>
            <w:right w:val="none" w:sz="0" w:space="0" w:color="auto"/>
          </w:divBdr>
          <w:divsChild>
            <w:div w:id="463817429">
              <w:marLeft w:val="0"/>
              <w:marRight w:val="0"/>
              <w:marTop w:val="0"/>
              <w:marBottom w:val="0"/>
              <w:divBdr>
                <w:top w:val="none" w:sz="0" w:space="0" w:color="auto"/>
                <w:left w:val="none" w:sz="0" w:space="0" w:color="auto"/>
                <w:bottom w:val="none" w:sz="0" w:space="0" w:color="auto"/>
                <w:right w:val="none" w:sz="0" w:space="0" w:color="auto"/>
              </w:divBdr>
              <w:divsChild>
                <w:div w:id="1014841239">
                  <w:marLeft w:val="0"/>
                  <w:marRight w:val="0"/>
                  <w:marTop w:val="0"/>
                  <w:marBottom w:val="0"/>
                  <w:divBdr>
                    <w:top w:val="none" w:sz="0" w:space="0" w:color="auto"/>
                    <w:left w:val="none" w:sz="0" w:space="0" w:color="auto"/>
                    <w:bottom w:val="none" w:sz="0" w:space="0" w:color="auto"/>
                    <w:right w:val="none" w:sz="0" w:space="0" w:color="auto"/>
                  </w:divBdr>
                  <w:divsChild>
                    <w:div w:id="1109278409">
                      <w:marLeft w:val="0"/>
                      <w:marRight w:val="0"/>
                      <w:marTop w:val="0"/>
                      <w:marBottom w:val="0"/>
                      <w:divBdr>
                        <w:top w:val="none" w:sz="0" w:space="0" w:color="auto"/>
                        <w:left w:val="none" w:sz="0" w:space="0" w:color="auto"/>
                        <w:bottom w:val="none" w:sz="0" w:space="0" w:color="auto"/>
                        <w:right w:val="none" w:sz="0" w:space="0" w:color="auto"/>
                      </w:divBdr>
                      <w:divsChild>
                        <w:div w:id="197746890">
                          <w:marLeft w:val="0"/>
                          <w:marRight w:val="0"/>
                          <w:marTop w:val="0"/>
                          <w:marBottom w:val="0"/>
                          <w:divBdr>
                            <w:top w:val="none" w:sz="0" w:space="0" w:color="auto"/>
                            <w:left w:val="none" w:sz="0" w:space="0" w:color="auto"/>
                            <w:bottom w:val="none" w:sz="0" w:space="0" w:color="auto"/>
                            <w:right w:val="none" w:sz="0" w:space="0" w:color="auto"/>
                          </w:divBdr>
                          <w:divsChild>
                            <w:div w:id="7161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98225">
      <w:bodyDiv w:val="1"/>
      <w:marLeft w:val="0"/>
      <w:marRight w:val="0"/>
      <w:marTop w:val="0"/>
      <w:marBottom w:val="0"/>
      <w:divBdr>
        <w:top w:val="none" w:sz="0" w:space="0" w:color="auto"/>
        <w:left w:val="none" w:sz="0" w:space="0" w:color="auto"/>
        <w:bottom w:val="none" w:sz="0" w:space="0" w:color="auto"/>
        <w:right w:val="none" w:sz="0" w:space="0" w:color="auto"/>
      </w:divBdr>
    </w:div>
    <w:div w:id="630601415">
      <w:bodyDiv w:val="1"/>
      <w:marLeft w:val="0"/>
      <w:marRight w:val="0"/>
      <w:marTop w:val="0"/>
      <w:marBottom w:val="0"/>
      <w:divBdr>
        <w:top w:val="none" w:sz="0" w:space="0" w:color="auto"/>
        <w:left w:val="none" w:sz="0" w:space="0" w:color="auto"/>
        <w:bottom w:val="none" w:sz="0" w:space="0" w:color="auto"/>
        <w:right w:val="none" w:sz="0" w:space="0" w:color="auto"/>
      </w:divBdr>
    </w:div>
    <w:div w:id="641158945">
      <w:bodyDiv w:val="1"/>
      <w:marLeft w:val="0"/>
      <w:marRight w:val="0"/>
      <w:marTop w:val="0"/>
      <w:marBottom w:val="0"/>
      <w:divBdr>
        <w:top w:val="none" w:sz="0" w:space="0" w:color="auto"/>
        <w:left w:val="none" w:sz="0" w:space="0" w:color="auto"/>
        <w:bottom w:val="none" w:sz="0" w:space="0" w:color="auto"/>
        <w:right w:val="none" w:sz="0" w:space="0" w:color="auto"/>
      </w:divBdr>
    </w:div>
    <w:div w:id="681712065">
      <w:bodyDiv w:val="1"/>
      <w:marLeft w:val="0"/>
      <w:marRight w:val="0"/>
      <w:marTop w:val="0"/>
      <w:marBottom w:val="0"/>
      <w:divBdr>
        <w:top w:val="none" w:sz="0" w:space="0" w:color="auto"/>
        <w:left w:val="none" w:sz="0" w:space="0" w:color="auto"/>
        <w:bottom w:val="none" w:sz="0" w:space="0" w:color="auto"/>
        <w:right w:val="none" w:sz="0" w:space="0" w:color="auto"/>
      </w:divBdr>
    </w:div>
    <w:div w:id="768156600">
      <w:bodyDiv w:val="1"/>
      <w:marLeft w:val="0"/>
      <w:marRight w:val="0"/>
      <w:marTop w:val="0"/>
      <w:marBottom w:val="0"/>
      <w:divBdr>
        <w:top w:val="none" w:sz="0" w:space="0" w:color="auto"/>
        <w:left w:val="none" w:sz="0" w:space="0" w:color="auto"/>
        <w:bottom w:val="none" w:sz="0" w:space="0" w:color="auto"/>
        <w:right w:val="none" w:sz="0" w:space="0" w:color="auto"/>
      </w:divBdr>
    </w:div>
    <w:div w:id="843665458">
      <w:bodyDiv w:val="1"/>
      <w:marLeft w:val="0"/>
      <w:marRight w:val="0"/>
      <w:marTop w:val="0"/>
      <w:marBottom w:val="0"/>
      <w:divBdr>
        <w:top w:val="none" w:sz="0" w:space="0" w:color="auto"/>
        <w:left w:val="none" w:sz="0" w:space="0" w:color="auto"/>
        <w:bottom w:val="none" w:sz="0" w:space="0" w:color="auto"/>
        <w:right w:val="none" w:sz="0" w:space="0" w:color="auto"/>
      </w:divBdr>
    </w:div>
    <w:div w:id="902135129">
      <w:bodyDiv w:val="1"/>
      <w:marLeft w:val="0"/>
      <w:marRight w:val="0"/>
      <w:marTop w:val="0"/>
      <w:marBottom w:val="0"/>
      <w:divBdr>
        <w:top w:val="none" w:sz="0" w:space="0" w:color="auto"/>
        <w:left w:val="none" w:sz="0" w:space="0" w:color="auto"/>
        <w:bottom w:val="none" w:sz="0" w:space="0" w:color="auto"/>
        <w:right w:val="none" w:sz="0" w:space="0" w:color="auto"/>
      </w:divBdr>
    </w:div>
    <w:div w:id="905380241">
      <w:bodyDiv w:val="1"/>
      <w:marLeft w:val="0"/>
      <w:marRight w:val="0"/>
      <w:marTop w:val="0"/>
      <w:marBottom w:val="0"/>
      <w:divBdr>
        <w:top w:val="none" w:sz="0" w:space="0" w:color="auto"/>
        <w:left w:val="none" w:sz="0" w:space="0" w:color="auto"/>
        <w:bottom w:val="none" w:sz="0" w:space="0" w:color="auto"/>
        <w:right w:val="none" w:sz="0" w:space="0" w:color="auto"/>
      </w:divBdr>
    </w:div>
    <w:div w:id="1056509250">
      <w:bodyDiv w:val="1"/>
      <w:marLeft w:val="0"/>
      <w:marRight w:val="0"/>
      <w:marTop w:val="0"/>
      <w:marBottom w:val="0"/>
      <w:divBdr>
        <w:top w:val="none" w:sz="0" w:space="0" w:color="auto"/>
        <w:left w:val="none" w:sz="0" w:space="0" w:color="auto"/>
        <w:bottom w:val="none" w:sz="0" w:space="0" w:color="auto"/>
        <w:right w:val="none" w:sz="0" w:space="0" w:color="auto"/>
      </w:divBdr>
    </w:div>
    <w:div w:id="1112359840">
      <w:bodyDiv w:val="1"/>
      <w:marLeft w:val="0"/>
      <w:marRight w:val="0"/>
      <w:marTop w:val="0"/>
      <w:marBottom w:val="0"/>
      <w:divBdr>
        <w:top w:val="none" w:sz="0" w:space="0" w:color="auto"/>
        <w:left w:val="none" w:sz="0" w:space="0" w:color="auto"/>
        <w:bottom w:val="none" w:sz="0" w:space="0" w:color="auto"/>
        <w:right w:val="none" w:sz="0" w:space="0" w:color="auto"/>
      </w:divBdr>
    </w:div>
    <w:div w:id="1120611945">
      <w:bodyDiv w:val="1"/>
      <w:marLeft w:val="0"/>
      <w:marRight w:val="0"/>
      <w:marTop w:val="0"/>
      <w:marBottom w:val="0"/>
      <w:divBdr>
        <w:top w:val="none" w:sz="0" w:space="0" w:color="auto"/>
        <w:left w:val="none" w:sz="0" w:space="0" w:color="auto"/>
        <w:bottom w:val="none" w:sz="0" w:space="0" w:color="auto"/>
        <w:right w:val="none" w:sz="0" w:space="0" w:color="auto"/>
      </w:divBdr>
    </w:div>
    <w:div w:id="1142962947">
      <w:bodyDiv w:val="1"/>
      <w:marLeft w:val="0"/>
      <w:marRight w:val="0"/>
      <w:marTop w:val="0"/>
      <w:marBottom w:val="0"/>
      <w:divBdr>
        <w:top w:val="none" w:sz="0" w:space="0" w:color="auto"/>
        <w:left w:val="none" w:sz="0" w:space="0" w:color="auto"/>
        <w:bottom w:val="none" w:sz="0" w:space="0" w:color="auto"/>
        <w:right w:val="none" w:sz="0" w:space="0" w:color="auto"/>
      </w:divBdr>
      <w:divsChild>
        <w:div w:id="297078416">
          <w:marLeft w:val="0"/>
          <w:marRight w:val="0"/>
          <w:marTop w:val="0"/>
          <w:marBottom w:val="0"/>
          <w:divBdr>
            <w:top w:val="none" w:sz="0" w:space="0" w:color="auto"/>
            <w:left w:val="none" w:sz="0" w:space="0" w:color="auto"/>
            <w:bottom w:val="none" w:sz="0" w:space="0" w:color="auto"/>
            <w:right w:val="none" w:sz="0" w:space="0" w:color="auto"/>
          </w:divBdr>
          <w:divsChild>
            <w:div w:id="620496883">
              <w:marLeft w:val="0"/>
              <w:marRight w:val="0"/>
              <w:marTop w:val="0"/>
              <w:marBottom w:val="0"/>
              <w:divBdr>
                <w:top w:val="none" w:sz="0" w:space="0" w:color="auto"/>
                <w:left w:val="none" w:sz="0" w:space="0" w:color="auto"/>
                <w:bottom w:val="none" w:sz="0" w:space="0" w:color="auto"/>
                <w:right w:val="none" w:sz="0" w:space="0" w:color="auto"/>
              </w:divBdr>
              <w:divsChild>
                <w:div w:id="68232636">
                  <w:marLeft w:val="0"/>
                  <w:marRight w:val="0"/>
                  <w:marTop w:val="0"/>
                  <w:marBottom w:val="0"/>
                  <w:divBdr>
                    <w:top w:val="none" w:sz="0" w:space="0" w:color="auto"/>
                    <w:left w:val="none" w:sz="0" w:space="0" w:color="auto"/>
                    <w:bottom w:val="none" w:sz="0" w:space="0" w:color="auto"/>
                    <w:right w:val="none" w:sz="0" w:space="0" w:color="auto"/>
                  </w:divBdr>
                  <w:divsChild>
                    <w:div w:id="649600432">
                      <w:marLeft w:val="0"/>
                      <w:marRight w:val="0"/>
                      <w:marTop w:val="0"/>
                      <w:marBottom w:val="0"/>
                      <w:divBdr>
                        <w:top w:val="none" w:sz="0" w:space="0" w:color="auto"/>
                        <w:left w:val="none" w:sz="0" w:space="0" w:color="auto"/>
                        <w:bottom w:val="none" w:sz="0" w:space="0" w:color="auto"/>
                        <w:right w:val="none" w:sz="0" w:space="0" w:color="auto"/>
                      </w:divBdr>
                      <w:divsChild>
                        <w:div w:id="967586066">
                          <w:marLeft w:val="0"/>
                          <w:marRight w:val="0"/>
                          <w:marTop w:val="0"/>
                          <w:marBottom w:val="0"/>
                          <w:divBdr>
                            <w:top w:val="none" w:sz="0" w:space="0" w:color="auto"/>
                            <w:left w:val="none" w:sz="0" w:space="0" w:color="auto"/>
                            <w:bottom w:val="none" w:sz="0" w:space="0" w:color="auto"/>
                            <w:right w:val="none" w:sz="0" w:space="0" w:color="auto"/>
                          </w:divBdr>
                          <w:divsChild>
                            <w:div w:id="13174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6891">
      <w:bodyDiv w:val="1"/>
      <w:marLeft w:val="0"/>
      <w:marRight w:val="0"/>
      <w:marTop w:val="0"/>
      <w:marBottom w:val="0"/>
      <w:divBdr>
        <w:top w:val="none" w:sz="0" w:space="0" w:color="auto"/>
        <w:left w:val="none" w:sz="0" w:space="0" w:color="auto"/>
        <w:bottom w:val="none" w:sz="0" w:space="0" w:color="auto"/>
        <w:right w:val="none" w:sz="0" w:space="0" w:color="auto"/>
      </w:divBdr>
      <w:divsChild>
        <w:div w:id="1671374582">
          <w:marLeft w:val="0"/>
          <w:marRight w:val="0"/>
          <w:marTop w:val="0"/>
          <w:marBottom w:val="0"/>
          <w:divBdr>
            <w:top w:val="none" w:sz="0" w:space="0" w:color="auto"/>
            <w:left w:val="none" w:sz="0" w:space="0" w:color="auto"/>
            <w:bottom w:val="none" w:sz="0" w:space="0" w:color="auto"/>
            <w:right w:val="none" w:sz="0" w:space="0" w:color="auto"/>
          </w:divBdr>
          <w:divsChild>
            <w:div w:id="1988126556">
              <w:marLeft w:val="0"/>
              <w:marRight w:val="0"/>
              <w:marTop w:val="0"/>
              <w:marBottom w:val="0"/>
              <w:divBdr>
                <w:top w:val="none" w:sz="0" w:space="0" w:color="auto"/>
                <w:left w:val="none" w:sz="0" w:space="0" w:color="auto"/>
                <w:bottom w:val="none" w:sz="0" w:space="0" w:color="auto"/>
                <w:right w:val="none" w:sz="0" w:space="0" w:color="auto"/>
              </w:divBdr>
              <w:divsChild>
                <w:div w:id="117071481">
                  <w:marLeft w:val="0"/>
                  <w:marRight w:val="0"/>
                  <w:marTop w:val="0"/>
                  <w:marBottom w:val="0"/>
                  <w:divBdr>
                    <w:top w:val="none" w:sz="0" w:space="0" w:color="auto"/>
                    <w:left w:val="none" w:sz="0" w:space="0" w:color="auto"/>
                    <w:bottom w:val="none" w:sz="0" w:space="0" w:color="auto"/>
                    <w:right w:val="none" w:sz="0" w:space="0" w:color="auto"/>
                  </w:divBdr>
                  <w:divsChild>
                    <w:div w:id="1609850470">
                      <w:marLeft w:val="0"/>
                      <w:marRight w:val="0"/>
                      <w:marTop w:val="0"/>
                      <w:marBottom w:val="0"/>
                      <w:divBdr>
                        <w:top w:val="none" w:sz="0" w:space="0" w:color="auto"/>
                        <w:left w:val="none" w:sz="0" w:space="0" w:color="auto"/>
                        <w:bottom w:val="none" w:sz="0" w:space="0" w:color="auto"/>
                        <w:right w:val="none" w:sz="0" w:space="0" w:color="auto"/>
                      </w:divBdr>
                      <w:divsChild>
                        <w:div w:id="2120491807">
                          <w:marLeft w:val="0"/>
                          <w:marRight w:val="0"/>
                          <w:marTop w:val="0"/>
                          <w:marBottom w:val="0"/>
                          <w:divBdr>
                            <w:top w:val="none" w:sz="0" w:space="0" w:color="auto"/>
                            <w:left w:val="none" w:sz="0" w:space="0" w:color="auto"/>
                            <w:bottom w:val="none" w:sz="0" w:space="0" w:color="auto"/>
                            <w:right w:val="none" w:sz="0" w:space="0" w:color="auto"/>
                          </w:divBdr>
                          <w:divsChild>
                            <w:div w:id="543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0349">
      <w:bodyDiv w:val="1"/>
      <w:marLeft w:val="0"/>
      <w:marRight w:val="0"/>
      <w:marTop w:val="0"/>
      <w:marBottom w:val="0"/>
      <w:divBdr>
        <w:top w:val="none" w:sz="0" w:space="0" w:color="auto"/>
        <w:left w:val="none" w:sz="0" w:space="0" w:color="auto"/>
        <w:bottom w:val="none" w:sz="0" w:space="0" w:color="auto"/>
        <w:right w:val="none" w:sz="0" w:space="0" w:color="auto"/>
      </w:divBdr>
    </w:div>
    <w:div w:id="1221359710">
      <w:bodyDiv w:val="1"/>
      <w:marLeft w:val="0"/>
      <w:marRight w:val="0"/>
      <w:marTop w:val="0"/>
      <w:marBottom w:val="0"/>
      <w:divBdr>
        <w:top w:val="none" w:sz="0" w:space="0" w:color="auto"/>
        <w:left w:val="none" w:sz="0" w:space="0" w:color="auto"/>
        <w:bottom w:val="none" w:sz="0" w:space="0" w:color="auto"/>
        <w:right w:val="none" w:sz="0" w:space="0" w:color="auto"/>
      </w:divBdr>
    </w:div>
    <w:div w:id="1241523426">
      <w:bodyDiv w:val="1"/>
      <w:marLeft w:val="0"/>
      <w:marRight w:val="0"/>
      <w:marTop w:val="0"/>
      <w:marBottom w:val="0"/>
      <w:divBdr>
        <w:top w:val="none" w:sz="0" w:space="0" w:color="auto"/>
        <w:left w:val="none" w:sz="0" w:space="0" w:color="auto"/>
        <w:bottom w:val="none" w:sz="0" w:space="0" w:color="auto"/>
        <w:right w:val="none" w:sz="0" w:space="0" w:color="auto"/>
      </w:divBdr>
      <w:divsChild>
        <w:div w:id="61297720">
          <w:marLeft w:val="0"/>
          <w:marRight w:val="0"/>
          <w:marTop w:val="0"/>
          <w:marBottom w:val="0"/>
          <w:divBdr>
            <w:top w:val="none" w:sz="0" w:space="0" w:color="auto"/>
            <w:left w:val="none" w:sz="0" w:space="0" w:color="auto"/>
            <w:bottom w:val="none" w:sz="0" w:space="0" w:color="auto"/>
            <w:right w:val="none" w:sz="0" w:space="0" w:color="auto"/>
          </w:divBdr>
        </w:div>
        <w:div w:id="112749925">
          <w:marLeft w:val="0"/>
          <w:marRight w:val="0"/>
          <w:marTop w:val="0"/>
          <w:marBottom w:val="0"/>
          <w:divBdr>
            <w:top w:val="none" w:sz="0" w:space="0" w:color="auto"/>
            <w:left w:val="none" w:sz="0" w:space="0" w:color="auto"/>
            <w:bottom w:val="none" w:sz="0" w:space="0" w:color="auto"/>
            <w:right w:val="none" w:sz="0" w:space="0" w:color="auto"/>
          </w:divBdr>
        </w:div>
        <w:div w:id="114564115">
          <w:marLeft w:val="0"/>
          <w:marRight w:val="0"/>
          <w:marTop w:val="0"/>
          <w:marBottom w:val="0"/>
          <w:divBdr>
            <w:top w:val="none" w:sz="0" w:space="0" w:color="auto"/>
            <w:left w:val="none" w:sz="0" w:space="0" w:color="auto"/>
            <w:bottom w:val="none" w:sz="0" w:space="0" w:color="auto"/>
            <w:right w:val="none" w:sz="0" w:space="0" w:color="auto"/>
          </w:divBdr>
        </w:div>
        <w:div w:id="256209251">
          <w:marLeft w:val="0"/>
          <w:marRight w:val="0"/>
          <w:marTop w:val="0"/>
          <w:marBottom w:val="0"/>
          <w:divBdr>
            <w:top w:val="none" w:sz="0" w:space="0" w:color="auto"/>
            <w:left w:val="none" w:sz="0" w:space="0" w:color="auto"/>
            <w:bottom w:val="none" w:sz="0" w:space="0" w:color="auto"/>
            <w:right w:val="none" w:sz="0" w:space="0" w:color="auto"/>
          </w:divBdr>
        </w:div>
        <w:div w:id="265119080">
          <w:marLeft w:val="0"/>
          <w:marRight w:val="0"/>
          <w:marTop w:val="0"/>
          <w:marBottom w:val="0"/>
          <w:divBdr>
            <w:top w:val="none" w:sz="0" w:space="0" w:color="auto"/>
            <w:left w:val="none" w:sz="0" w:space="0" w:color="auto"/>
            <w:bottom w:val="none" w:sz="0" w:space="0" w:color="auto"/>
            <w:right w:val="none" w:sz="0" w:space="0" w:color="auto"/>
          </w:divBdr>
        </w:div>
        <w:div w:id="483358864">
          <w:marLeft w:val="0"/>
          <w:marRight w:val="0"/>
          <w:marTop w:val="0"/>
          <w:marBottom w:val="0"/>
          <w:divBdr>
            <w:top w:val="none" w:sz="0" w:space="0" w:color="auto"/>
            <w:left w:val="none" w:sz="0" w:space="0" w:color="auto"/>
            <w:bottom w:val="none" w:sz="0" w:space="0" w:color="auto"/>
            <w:right w:val="none" w:sz="0" w:space="0" w:color="auto"/>
          </w:divBdr>
        </w:div>
        <w:div w:id="488639314">
          <w:marLeft w:val="0"/>
          <w:marRight w:val="0"/>
          <w:marTop w:val="0"/>
          <w:marBottom w:val="0"/>
          <w:divBdr>
            <w:top w:val="none" w:sz="0" w:space="0" w:color="auto"/>
            <w:left w:val="none" w:sz="0" w:space="0" w:color="auto"/>
            <w:bottom w:val="none" w:sz="0" w:space="0" w:color="auto"/>
            <w:right w:val="none" w:sz="0" w:space="0" w:color="auto"/>
          </w:divBdr>
        </w:div>
        <w:div w:id="547685762">
          <w:marLeft w:val="0"/>
          <w:marRight w:val="0"/>
          <w:marTop w:val="0"/>
          <w:marBottom w:val="0"/>
          <w:divBdr>
            <w:top w:val="none" w:sz="0" w:space="0" w:color="auto"/>
            <w:left w:val="none" w:sz="0" w:space="0" w:color="auto"/>
            <w:bottom w:val="none" w:sz="0" w:space="0" w:color="auto"/>
            <w:right w:val="none" w:sz="0" w:space="0" w:color="auto"/>
          </w:divBdr>
        </w:div>
        <w:div w:id="560676450">
          <w:marLeft w:val="0"/>
          <w:marRight w:val="0"/>
          <w:marTop w:val="0"/>
          <w:marBottom w:val="0"/>
          <w:divBdr>
            <w:top w:val="none" w:sz="0" w:space="0" w:color="auto"/>
            <w:left w:val="none" w:sz="0" w:space="0" w:color="auto"/>
            <w:bottom w:val="none" w:sz="0" w:space="0" w:color="auto"/>
            <w:right w:val="none" w:sz="0" w:space="0" w:color="auto"/>
          </w:divBdr>
        </w:div>
        <w:div w:id="672025476">
          <w:marLeft w:val="0"/>
          <w:marRight w:val="0"/>
          <w:marTop w:val="0"/>
          <w:marBottom w:val="0"/>
          <w:divBdr>
            <w:top w:val="none" w:sz="0" w:space="0" w:color="auto"/>
            <w:left w:val="none" w:sz="0" w:space="0" w:color="auto"/>
            <w:bottom w:val="none" w:sz="0" w:space="0" w:color="auto"/>
            <w:right w:val="none" w:sz="0" w:space="0" w:color="auto"/>
          </w:divBdr>
        </w:div>
        <w:div w:id="849489101">
          <w:marLeft w:val="0"/>
          <w:marRight w:val="0"/>
          <w:marTop w:val="0"/>
          <w:marBottom w:val="0"/>
          <w:divBdr>
            <w:top w:val="none" w:sz="0" w:space="0" w:color="auto"/>
            <w:left w:val="none" w:sz="0" w:space="0" w:color="auto"/>
            <w:bottom w:val="none" w:sz="0" w:space="0" w:color="auto"/>
            <w:right w:val="none" w:sz="0" w:space="0" w:color="auto"/>
          </w:divBdr>
        </w:div>
        <w:div w:id="1106387210">
          <w:marLeft w:val="0"/>
          <w:marRight w:val="0"/>
          <w:marTop w:val="0"/>
          <w:marBottom w:val="0"/>
          <w:divBdr>
            <w:top w:val="none" w:sz="0" w:space="0" w:color="auto"/>
            <w:left w:val="none" w:sz="0" w:space="0" w:color="auto"/>
            <w:bottom w:val="none" w:sz="0" w:space="0" w:color="auto"/>
            <w:right w:val="none" w:sz="0" w:space="0" w:color="auto"/>
          </w:divBdr>
        </w:div>
        <w:div w:id="1145464586">
          <w:marLeft w:val="0"/>
          <w:marRight w:val="0"/>
          <w:marTop w:val="0"/>
          <w:marBottom w:val="0"/>
          <w:divBdr>
            <w:top w:val="none" w:sz="0" w:space="0" w:color="auto"/>
            <w:left w:val="none" w:sz="0" w:space="0" w:color="auto"/>
            <w:bottom w:val="none" w:sz="0" w:space="0" w:color="auto"/>
            <w:right w:val="none" w:sz="0" w:space="0" w:color="auto"/>
          </w:divBdr>
        </w:div>
        <w:div w:id="1149443350">
          <w:marLeft w:val="0"/>
          <w:marRight w:val="0"/>
          <w:marTop w:val="0"/>
          <w:marBottom w:val="0"/>
          <w:divBdr>
            <w:top w:val="none" w:sz="0" w:space="0" w:color="auto"/>
            <w:left w:val="none" w:sz="0" w:space="0" w:color="auto"/>
            <w:bottom w:val="none" w:sz="0" w:space="0" w:color="auto"/>
            <w:right w:val="none" w:sz="0" w:space="0" w:color="auto"/>
          </w:divBdr>
        </w:div>
        <w:div w:id="1160728488">
          <w:marLeft w:val="0"/>
          <w:marRight w:val="0"/>
          <w:marTop w:val="0"/>
          <w:marBottom w:val="0"/>
          <w:divBdr>
            <w:top w:val="none" w:sz="0" w:space="0" w:color="auto"/>
            <w:left w:val="none" w:sz="0" w:space="0" w:color="auto"/>
            <w:bottom w:val="none" w:sz="0" w:space="0" w:color="auto"/>
            <w:right w:val="none" w:sz="0" w:space="0" w:color="auto"/>
          </w:divBdr>
        </w:div>
        <w:div w:id="1161198009">
          <w:marLeft w:val="0"/>
          <w:marRight w:val="0"/>
          <w:marTop w:val="0"/>
          <w:marBottom w:val="0"/>
          <w:divBdr>
            <w:top w:val="none" w:sz="0" w:space="0" w:color="auto"/>
            <w:left w:val="none" w:sz="0" w:space="0" w:color="auto"/>
            <w:bottom w:val="none" w:sz="0" w:space="0" w:color="auto"/>
            <w:right w:val="none" w:sz="0" w:space="0" w:color="auto"/>
          </w:divBdr>
        </w:div>
        <w:div w:id="1180006709">
          <w:marLeft w:val="0"/>
          <w:marRight w:val="0"/>
          <w:marTop w:val="0"/>
          <w:marBottom w:val="0"/>
          <w:divBdr>
            <w:top w:val="none" w:sz="0" w:space="0" w:color="auto"/>
            <w:left w:val="none" w:sz="0" w:space="0" w:color="auto"/>
            <w:bottom w:val="none" w:sz="0" w:space="0" w:color="auto"/>
            <w:right w:val="none" w:sz="0" w:space="0" w:color="auto"/>
          </w:divBdr>
        </w:div>
        <w:div w:id="1290891059">
          <w:marLeft w:val="0"/>
          <w:marRight w:val="0"/>
          <w:marTop w:val="0"/>
          <w:marBottom w:val="0"/>
          <w:divBdr>
            <w:top w:val="none" w:sz="0" w:space="0" w:color="auto"/>
            <w:left w:val="none" w:sz="0" w:space="0" w:color="auto"/>
            <w:bottom w:val="none" w:sz="0" w:space="0" w:color="auto"/>
            <w:right w:val="none" w:sz="0" w:space="0" w:color="auto"/>
          </w:divBdr>
        </w:div>
        <w:div w:id="1300112805">
          <w:marLeft w:val="0"/>
          <w:marRight w:val="0"/>
          <w:marTop w:val="0"/>
          <w:marBottom w:val="0"/>
          <w:divBdr>
            <w:top w:val="none" w:sz="0" w:space="0" w:color="auto"/>
            <w:left w:val="none" w:sz="0" w:space="0" w:color="auto"/>
            <w:bottom w:val="none" w:sz="0" w:space="0" w:color="auto"/>
            <w:right w:val="none" w:sz="0" w:space="0" w:color="auto"/>
          </w:divBdr>
        </w:div>
        <w:div w:id="1433476970">
          <w:marLeft w:val="0"/>
          <w:marRight w:val="0"/>
          <w:marTop w:val="0"/>
          <w:marBottom w:val="0"/>
          <w:divBdr>
            <w:top w:val="none" w:sz="0" w:space="0" w:color="auto"/>
            <w:left w:val="none" w:sz="0" w:space="0" w:color="auto"/>
            <w:bottom w:val="none" w:sz="0" w:space="0" w:color="auto"/>
            <w:right w:val="none" w:sz="0" w:space="0" w:color="auto"/>
          </w:divBdr>
        </w:div>
        <w:div w:id="1504128836">
          <w:marLeft w:val="0"/>
          <w:marRight w:val="0"/>
          <w:marTop w:val="0"/>
          <w:marBottom w:val="0"/>
          <w:divBdr>
            <w:top w:val="none" w:sz="0" w:space="0" w:color="auto"/>
            <w:left w:val="none" w:sz="0" w:space="0" w:color="auto"/>
            <w:bottom w:val="none" w:sz="0" w:space="0" w:color="auto"/>
            <w:right w:val="none" w:sz="0" w:space="0" w:color="auto"/>
          </w:divBdr>
        </w:div>
        <w:div w:id="1536575249">
          <w:marLeft w:val="0"/>
          <w:marRight w:val="0"/>
          <w:marTop w:val="0"/>
          <w:marBottom w:val="0"/>
          <w:divBdr>
            <w:top w:val="none" w:sz="0" w:space="0" w:color="auto"/>
            <w:left w:val="none" w:sz="0" w:space="0" w:color="auto"/>
            <w:bottom w:val="none" w:sz="0" w:space="0" w:color="auto"/>
            <w:right w:val="none" w:sz="0" w:space="0" w:color="auto"/>
          </w:divBdr>
        </w:div>
        <w:div w:id="1595238870">
          <w:marLeft w:val="0"/>
          <w:marRight w:val="0"/>
          <w:marTop w:val="0"/>
          <w:marBottom w:val="0"/>
          <w:divBdr>
            <w:top w:val="none" w:sz="0" w:space="0" w:color="auto"/>
            <w:left w:val="none" w:sz="0" w:space="0" w:color="auto"/>
            <w:bottom w:val="none" w:sz="0" w:space="0" w:color="auto"/>
            <w:right w:val="none" w:sz="0" w:space="0" w:color="auto"/>
          </w:divBdr>
        </w:div>
        <w:div w:id="1646350366">
          <w:marLeft w:val="0"/>
          <w:marRight w:val="0"/>
          <w:marTop w:val="0"/>
          <w:marBottom w:val="0"/>
          <w:divBdr>
            <w:top w:val="none" w:sz="0" w:space="0" w:color="auto"/>
            <w:left w:val="none" w:sz="0" w:space="0" w:color="auto"/>
            <w:bottom w:val="none" w:sz="0" w:space="0" w:color="auto"/>
            <w:right w:val="none" w:sz="0" w:space="0" w:color="auto"/>
          </w:divBdr>
        </w:div>
        <w:div w:id="1662925363">
          <w:marLeft w:val="0"/>
          <w:marRight w:val="0"/>
          <w:marTop w:val="0"/>
          <w:marBottom w:val="0"/>
          <w:divBdr>
            <w:top w:val="none" w:sz="0" w:space="0" w:color="auto"/>
            <w:left w:val="none" w:sz="0" w:space="0" w:color="auto"/>
            <w:bottom w:val="none" w:sz="0" w:space="0" w:color="auto"/>
            <w:right w:val="none" w:sz="0" w:space="0" w:color="auto"/>
          </w:divBdr>
        </w:div>
        <w:div w:id="1669820736">
          <w:marLeft w:val="0"/>
          <w:marRight w:val="0"/>
          <w:marTop w:val="0"/>
          <w:marBottom w:val="0"/>
          <w:divBdr>
            <w:top w:val="none" w:sz="0" w:space="0" w:color="auto"/>
            <w:left w:val="none" w:sz="0" w:space="0" w:color="auto"/>
            <w:bottom w:val="none" w:sz="0" w:space="0" w:color="auto"/>
            <w:right w:val="none" w:sz="0" w:space="0" w:color="auto"/>
          </w:divBdr>
        </w:div>
        <w:div w:id="1711805775">
          <w:marLeft w:val="0"/>
          <w:marRight w:val="0"/>
          <w:marTop w:val="0"/>
          <w:marBottom w:val="0"/>
          <w:divBdr>
            <w:top w:val="none" w:sz="0" w:space="0" w:color="auto"/>
            <w:left w:val="none" w:sz="0" w:space="0" w:color="auto"/>
            <w:bottom w:val="none" w:sz="0" w:space="0" w:color="auto"/>
            <w:right w:val="none" w:sz="0" w:space="0" w:color="auto"/>
          </w:divBdr>
        </w:div>
        <w:div w:id="1829055853">
          <w:marLeft w:val="0"/>
          <w:marRight w:val="0"/>
          <w:marTop w:val="0"/>
          <w:marBottom w:val="0"/>
          <w:divBdr>
            <w:top w:val="none" w:sz="0" w:space="0" w:color="auto"/>
            <w:left w:val="none" w:sz="0" w:space="0" w:color="auto"/>
            <w:bottom w:val="none" w:sz="0" w:space="0" w:color="auto"/>
            <w:right w:val="none" w:sz="0" w:space="0" w:color="auto"/>
          </w:divBdr>
        </w:div>
        <w:div w:id="1859663184">
          <w:marLeft w:val="0"/>
          <w:marRight w:val="0"/>
          <w:marTop w:val="0"/>
          <w:marBottom w:val="0"/>
          <w:divBdr>
            <w:top w:val="none" w:sz="0" w:space="0" w:color="auto"/>
            <w:left w:val="none" w:sz="0" w:space="0" w:color="auto"/>
            <w:bottom w:val="none" w:sz="0" w:space="0" w:color="auto"/>
            <w:right w:val="none" w:sz="0" w:space="0" w:color="auto"/>
          </w:divBdr>
        </w:div>
        <w:div w:id="1983463567">
          <w:marLeft w:val="0"/>
          <w:marRight w:val="0"/>
          <w:marTop w:val="0"/>
          <w:marBottom w:val="0"/>
          <w:divBdr>
            <w:top w:val="none" w:sz="0" w:space="0" w:color="auto"/>
            <w:left w:val="none" w:sz="0" w:space="0" w:color="auto"/>
            <w:bottom w:val="none" w:sz="0" w:space="0" w:color="auto"/>
            <w:right w:val="none" w:sz="0" w:space="0" w:color="auto"/>
          </w:divBdr>
        </w:div>
        <w:div w:id="2005162789">
          <w:marLeft w:val="0"/>
          <w:marRight w:val="0"/>
          <w:marTop w:val="0"/>
          <w:marBottom w:val="0"/>
          <w:divBdr>
            <w:top w:val="none" w:sz="0" w:space="0" w:color="auto"/>
            <w:left w:val="none" w:sz="0" w:space="0" w:color="auto"/>
            <w:bottom w:val="none" w:sz="0" w:space="0" w:color="auto"/>
            <w:right w:val="none" w:sz="0" w:space="0" w:color="auto"/>
          </w:divBdr>
        </w:div>
        <w:div w:id="2124808888">
          <w:marLeft w:val="0"/>
          <w:marRight w:val="0"/>
          <w:marTop w:val="0"/>
          <w:marBottom w:val="0"/>
          <w:divBdr>
            <w:top w:val="none" w:sz="0" w:space="0" w:color="auto"/>
            <w:left w:val="none" w:sz="0" w:space="0" w:color="auto"/>
            <w:bottom w:val="none" w:sz="0" w:space="0" w:color="auto"/>
            <w:right w:val="none" w:sz="0" w:space="0" w:color="auto"/>
          </w:divBdr>
        </w:div>
      </w:divsChild>
    </w:div>
    <w:div w:id="1249072075">
      <w:bodyDiv w:val="1"/>
      <w:marLeft w:val="0"/>
      <w:marRight w:val="0"/>
      <w:marTop w:val="0"/>
      <w:marBottom w:val="0"/>
      <w:divBdr>
        <w:top w:val="none" w:sz="0" w:space="0" w:color="auto"/>
        <w:left w:val="none" w:sz="0" w:space="0" w:color="auto"/>
        <w:bottom w:val="none" w:sz="0" w:space="0" w:color="auto"/>
        <w:right w:val="none" w:sz="0" w:space="0" w:color="auto"/>
      </w:divBdr>
    </w:div>
    <w:div w:id="1332490041">
      <w:bodyDiv w:val="1"/>
      <w:marLeft w:val="0"/>
      <w:marRight w:val="0"/>
      <w:marTop w:val="0"/>
      <w:marBottom w:val="0"/>
      <w:divBdr>
        <w:top w:val="none" w:sz="0" w:space="0" w:color="auto"/>
        <w:left w:val="none" w:sz="0" w:space="0" w:color="auto"/>
        <w:bottom w:val="none" w:sz="0" w:space="0" w:color="auto"/>
        <w:right w:val="none" w:sz="0" w:space="0" w:color="auto"/>
      </w:divBdr>
      <w:divsChild>
        <w:div w:id="1327973870">
          <w:marLeft w:val="0"/>
          <w:marRight w:val="0"/>
          <w:marTop w:val="0"/>
          <w:marBottom w:val="0"/>
          <w:divBdr>
            <w:top w:val="none" w:sz="0" w:space="0" w:color="auto"/>
            <w:left w:val="none" w:sz="0" w:space="0" w:color="auto"/>
            <w:bottom w:val="none" w:sz="0" w:space="0" w:color="auto"/>
            <w:right w:val="none" w:sz="0" w:space="0" w:color="auto"/>
          </w:divBdr>
          <w:divsChild>
            <w:div w:id="1574125758">
              <w:marLeft w:val="0"/>
              <w:marRight w:val="0"/>
              <w:marTop w:val="0"/>
              <w:marBottom w:val="0"/>
              <w:divBdr>
                <w:top w:val="none" w:sz="0" w:space="0" w:color="auto"/>
                <w:left w:val="none" w:sz="0" w:space="0" w:color="auto"/>
                <w:bottom w:val="none" w:sz="0" w:space="0" w:color="auto"/>
                <w:right w:val="none" w:sz="0" w:space="0" w:color="auto"/>
              </w:divBdr>
              <w:divsChild>
                <w:div w:id="1404065810">
                  <w:marLeft w:val="0"/>
                  <w:marRight w:val="0"/>
                  <w:marTop w:val="0"/>
                  <w:marBottom w:val="0"/>
                  <w:divBdr>
                    <w:top w:val="none" w:sz="0" w:space="0" w:color="auto"/>
                    <w:left w:val="none" w:sz="0" w:space="0" w:color="auto"/>
                    <w:bottom w:val="none" w:sz="0" w:space="0" w:color="auto"/>
                    <w:right w:val="none" w:sz="0" w:space="0" w:color="auto"/>
                  </w:divBdr>
                  <w:divsChild>
                    <w:div w:id="1121801524">
                      <w:marLeft w:val="0"/>
                      <w:marRight w:val="0"/>
                      <w:marTop w:val="0"/>
                      <w:marBottom w:val="0"/>
                      <w:divBdr>
                        <w:top w:val="none" w:sz="0" w:space="0" w:color="auto"/>
                        <w:left w:val="none" w:sz="0" w:space="0" w:color="auto"/>
                        <w:bottom w:val="none" w:sz="0" w:space="0" w:color="auto"/>
                        <w:right w:val="none" w:sz="0" w:space="0" w:color="auto"/>
                      </w:divBdr>
                      <w:divsChild>
                        <w:div w:id="372001188">
                          <w:marLeft w:val="0"/>
                          <w:marRight w:val="0"/>
                          <w:marTop w:val="0"/>
                          <w:marBottom w:val="0"/>
                          <w:divBdr>
                            <w:top w:val="none" w:sz="0" w:space="0" w:color="auto"/>
                            <w:left w:val="none" w:sz="0" w:space="0" w:color="auto"/>
                            <w:bottom w:val="none" w:sz="0" w:space="0" w:color="auto"/>
                            <w:right w:val="none" w:sz="0" w:space="0" w:color="auto"/>
                          </w:divBdr>
                          <w:divsChild>
                            <w:div w:id="9273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044165">
      <w:bodyDiv w:val="1"/>
      <w:marLeft w:val="0"/>
      <w:marRight w:val="0"/>
      <w:marTop w:val="0"/>
      <w:marBottom w:val="0"/>
      <w:divBdr>
        <w:top w:val="none" w:sz="0" w:space="0" w:color="auto"/>
        <w:left w:val="none" w:sz="0" w:space="0" w:color="auto"/>
        <w:bottom w:val="none" w:sz="0" w:space="0" w:color="auto"/>
        <w:right w:val="none" w:sz="0" w:space="0" w:color="auto"/>
      </w:divBdr>
    </w:div>
    <w:div w:id="1726758978">
      <w:bodyDiv w:val="1"/>
      <w:marLeft w:val="0"/>
      <w:marRight w:val="0"/>
      <w:marTop w:val="0"/>
      <w:marBottom w:val="0"/>
      <w:divBdr>
        <w:top w:val="none" w:sz="0" w:space="0" w:color="auto"/>
        <w:left w:val="none" w:sz="0" w:space="0" w:color="auto"/>
        <w:bottom w:val="none" w:sz="0" w:space="0" w:color="auto"/>
        <w:right w:val="none" w:sz="0" w:space="0" w:color="auto"/>
      </w:divBdr>
    </w:div>
    <w:div w:id="1778941152">
      <w:bodyDiv w:val="1"/>
      <w:marLeft w:val="0"/>
      <w:marRight w:val="0"/>
      <w:marTop w:val="0"/>
      <w:marBottom w:val="0"/>
      <w:divBdr>
        <w:top w:val="none" w:sz="0" w:space="0" w:color="auto"/>
        <w:left w:val="none" w:sz="0" w:space="0" w:color="auto"/>
        <w:bottom w:val="none" w:sz="0" w:space="0" w:color="auto"/>
        <w:right w:val="none" w:sz="0" w:space="0" w:color="auto"/>
      </w:divBdr>
    </w:div>
    <w:div w:id="1860847683">
      <w:bodyDiv w:val="1"/>
      <w:marLeft w:val="0"/>
      <w:marRight w:val="0"/>
      <w:marTop w:val="0"/>
      <w:marBottom w:val="0"/>
      <w:divBdr>
        <w:top w:val="none" w:sz="0" w:space="0" w:color="auto"/>
        <w:left w:val="none" w:sz="0" w:space="0" w:color="auto"/>
        <w:bottom w:val="none" w:sz="0" w:space="0" w:color="auto"/>
        <w:right w:val="none" w:sz="0" w:space="0" w:color="auto"/>
      </w:divBdr>
    </w:div>
    <w:div w:id="1914121893">
      <w:bodyDiv w:val="1"/>
      <w:marLeft w:val="0"/>
      <w:marRight w:val="0"/>
      <w:marTop w:val="0"/>
      <w:marBottom w:val="0"/>
      <w:divBdr>
        <w:top w:val="none" w:sz="0" w:space="0" w:color="auto"/>
        <w:left w:val="none" w:sz="0" w:space="0" w:color="auto"/>
        <w:bottom w:val="none" w:sz="0" w:space="0" w:color="auto"/>
        <w:right w:val="none" w:sz="0" w:space="0" w:color="auto"/>
      </w:divBdr>
    </w:div>
    <w:div w:id="1984112809">
      <w:bodyDiv w:val="1"/>
      <w:marLeft w:val="0"/>
      <w:marRight w:val="0"/>
      <w:marTop w:val="0"/>
      <w:marBottom w:val="0"/>
      <w:divBdr>
        <w:top w:val="none" w:sz="0" w:space="0" w:color="auto"/>
        <w:left w:val="none" w:sz="0" w:space="0" w:color="auto"/>
        <w:bottom w:val="none" w:sz="0" w:space="0" w:color="auto"/>
        <w:right w:val="none" w:sz="0" w:space="0" w:color="auto"/>
      </w:divBdr>
    </w:div>
    <w:div w:id="2036803462">
      <w:bodyDiv w:val="1"/>
      <w:marLeft w:val="0"/>
      <w:marRight w:val="0"/>
      <w:marTop w:val="0"/>
      <w:marBottom w:val="0"/>
      <w:divBdr>
        <w:top w:val="none" w:sz="0" w:space="0" w:color="auto"/>
        <w:left w:val="none" w:sz="0" w:space="0" w:color="auto"/>
        <w:bottom w:val="none" w:sz="0" w:space="0" w:color="auto"/>
        <w:right w:val="none" w:sz="0" w:space="0" w:color="auto"/>
      </w:divBdr>
    </w:div>
    <w:div w:id="207015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orras@umet.edu.ec" TargetMode="External"/><Relationship Id="rId18" Type="http://schemas.openxmlformats.org/officeDocument/2006/relationships/hyperlink" Target="https://orcid.org/0000-0002-8501-682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torres@umet.edu.ec"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orcid.org/0000-0002-3251-129X" TargetMode="External"/><Relationship Id="rId17" Type="http://schemas.openxmlformats.org/officeDocument/2006/relationships/hyperlink" Target="mailto:avasquez@umet.edu.ec" TargetMode="External"/><Relationship Id="rId25" Type="http://schemas.openxmlformats.org/officeDocument/2006/relationships/hyperlink" Target="mailto:pporras@umet.edu.ec"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orcid.org/0000-0002-1946-3115" TargetMode="External"/><Relationship Id="rId20" Type="http://schemas.openxmlformats.org/officeDocument/2006/relationships/hyperlink" Target="https://orcid.org/0000-0002-8501-682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anchez@umet.edu.ec" TargetMode="External"/><Relationship Id="rId24" Type="http://schemas.openxmlformats.org/officeDocument/2006/relationships/hyperlink" Target="https://orcid.org/0000-0001-9352-5698"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porras@umet.edu.ec" TargetMode="External"/><Relationship Id="rId23" Type="http://schemas.openxmlformats.org/officeDocument/2006/relationships/hyperlink" Target="mailto:jtorres@umet.edu.ec"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s://orcid.org/0000-0002-3251-129X" TargetMode="External"/><Relationship Id="rId19" Type="http://schemas.openxmlformats.org/officeDocument/2006/relationships/hyperlink" Target="mailto:avasquez@umet.edu.ec"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jsanchez@umet.edu.ec" TargetMode="External"/><Relationship Id="rId14" Type="http://schemas.openxmlformats.org/officeDocument/2006/relationships/hyperlink" Target="https://orcid.org/0000-0002-1946-3115" TargetMode="External"/><Relationship Id="rId22" Type="http://schemas.openxmlformats.org/officeDocument/2006/relationships/hyperlink" Target="https://orcid.org/0000-0001-9352-5698"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JUA15</b:Tag>
    <b:SourceType>Report</b:SourceType>
    <b:Guid>{7C0B9185-7ABE-4DA0-9BD3-EAEB2E72AAF3}</b:Guid>
    <b:Author>
      <b:Author>
        <b:NameList>
          <b:Person>
            <b:Last>Vinueza</b:Last>
            <b:First>Juan</b:First>
          </b:Person>
        </b:NameList>
      </b:Author>
    </b:Author>
    <b:Title>Nuevas metodologías para el diseño de puentes aplicando al portico de acero con columnas inclinadas del puente Gualo</b:Title>
    <b:Year>2015</b:Year>
    <b:Publisher>Universidad Central</b:Publisher>
    <b:City>Quito</b:City>
    <b:RefOrder>19</b:RefOrder>
  </b:Source>
  <b:Source>
    <b:Tag>Luz14</b:Tag>
    <b:SourceType>Report</b:SourceType>
    <b:Guid>{7906DA12-3A9B-4845-A758-3DBCAB1407B6}</b:Guid>
    <b:Author>
      <b:Author>
        <b:NameList>
          <b:Person>
            <b:Last>Luzardo</b:Last>
            <b:First>M.</b:First>
          </b:Person>
          <b:Person>
            <b:Last>Jaimes</b:Last>
            <b:First>L.</b:First>
          </b:Person>
          <b:Person>
            <b:Last>Aguilar</b:Last>
            <b:First>A.</b:First>
          </b:Person>
        </b:NameList>
      </b:Author>
    </b:Author>
    <b:Title>ICT and Academic Formation: A look from the UPB-Bucaramanga’s Teachers.Ponencia: Congreso Internacional de Innovación y Apropiación de las Tecnologías de la Información y las Comunicaciones CIINATIC. Oct</b:Title>
    <b:Year>2014</b:Year>
    <b:RefOrder>1</b:RefOrder>
  </b:Source>
  <b:Source>
    <b:Tag>San12</b:Tag>
    <b:SourceType>Book</b:SourceType>
    <b:Guid>{C3E303D7-1A39-41C1-AFAF-430E7C930F33}</b:Guid>
    <b:Title> Implantación y Validación del Modelo Organizacional y de Gestión para la Formación Flexible en la Universidad de Los Andes. . </b:Title>
    <b:Year>2012</b:Year>
    <b:Author>
      <b:Author>
        <b:NameList>
          <b:Person>
            <b:Last>Sandia</b:Last>
            <b:First>B</b:First>
          </b:Person>
        </b:NameList>
      </b:Author>
    </b:Author>
    <b:City>Saarbrucken, Alemania.</b:City>
    <b:Publisher>Editorial Académica Española</b:Publisher>
    <b:RefOrder>2</b:RefOrder>
  </b:Source>
  <b:Source>
    <b:Tag>PCo04</b:Tag>
    <b:SourceType>JournalArticle</b:SourceType>
    <b:Guid>{D2492297-A882-490D-84D4-DDC5B0C690E5}</b:Guid>
    <b:Author>
      <b:Author>
        <b:NameList>
          <b:Person>
            <b:Last>Colás</b:Last>
            <b:First>f.</b:First>
          </b:Person>
          <b:Person>
            <b:Last>De Pablos</b:Last>
            <b:First>J.</b:First>
          </b:Person>
        </b:NameList>
      </b:Author>
    </b:Author>
    <b:Title>“La  formación  del  profesorado  basada  en  redes de aprendizaje virtual: aplicación de la técnica DAFO”</b:Title>
    <b:Year>2004</b:Year>
    <b:JournalName>Revista Teoría de la Educación: Educación   y   Cultura   en   la   Sociedad   de   la   Información,</b:JournalName>
    <b:RefOrder>3</b:RefOrder>
  </b:Source>
  <b:Source>
    <b:Tag>Ade97</b:Tag>
    <b:SourceType>JournalArticle</b:SourceType>
    <b:Guid>{6E96485A-D303-4E8F-8AA8-AA7EFD1201C1}</b:Guid>
    <b:Title>Tendencias  en  educación  en  la  sociedad  de  las  tecnologías  de  la información”,</b:Title>
    <b:JournalName> Revista  Electrónica  de  TecnologíaEducativa.  EDUTEC</b:JournalName>
    <b:Year>1997</b:Year>
    <b:Author>
      <b:Author>
        <b:NameList>
          <b:Person>
            <b:Last>Adell</b:Last>
            <b:First>J.,</b:First>
          </b:Person>
        </b:NameList>
      </b:Author>
    </b:Author>
    <b:URL> www.uib.es/depart/dceweb/revelec7.htm</b:URL>
    <b:RefOrder>4</b:RefOrder>
  </b:Source>
  <b:Source>
    <b:Tag>Sec17</b:Tag>
    <b:SourceType>Book</b:SourceType>
    <b:Guid>{FBBC9B02-FF6B-4B84-BEB8-A3CCAEF3ED35}</b:Guid>
    <b:Title> Consejo de Evaluación, Acreditación y Aseguramiento de la Calidad de la Educación Superior. </b:Title>
    <b:Year>2017</b:Year>
    <b:Author>
      <b:Author>
        <b:Corporate>Secretaría Nacional de Ciencia y Tecnología</b:Corporate>
      </b:Author>
    </b:Author>
    <b:URL> http://www.ceaaces.gob.ec/sitio/wp-content/uploads/2013/10/rloes1.pd</b:URL>
    <b:RefOrder>5</b:RefOrder>
  </b:Source>
  <b:Source>
    <b:Tag>UNE093</b:Tag>
    <b:SourceType>Book</b:SourceType>
    <b:Guid>{793FAB1C-B5D9-4539-B6C2-8595B6171352}</b:Guid>
    <b:Author>
      <b:Author>
        <b:Corporate>UNESCO </b:Corporate>
      </b:Author>
    </b:Author>
    <b:Title> Guide to Measuring Information and Communication Technologies (ICT) in Education. UIS Technical Paper No. 2. </b:Title>
    <b:Year>2009 </b:Year>
    <b:City>Montreal: UIS.</b:City>
    <b:RefOrder>6</b:RefOrder>
  </b:Source>
  <b:Source>
    <b:Tag>ONU12</b:Tag>
    <b:SourceType>Book</b:SourceType>
    <b:Guid>{4AE9D16C-69E1-4588-B007-9AE6070C30BC}</b:Guid>
    <b:Author>
      <b:Author>
        <b:Corporate>ONU</b:Corporate>
      </b:Author>
    </b:Author>
    <b:Title>Millennium Development Goals.</b:Title>
    <b:Year>2012</b:Year>
    <b:URL> http://www.un.org/millenniumgoals/global.shtml</b:URL>
    <b:RefOrder>7</b:RefOrder>
  </b:Source>
  <b:Source>
    <b:Tag>ONU13</b:Tag>
    <b:SourceType>Book</b:SourceType>
    <b:Guid>{17C66B3E-0729-4011-ADA7-E46AF1C462E2}</b:Guid>
    <b:Author>
      <b:Author>
        <b:NameList>
          <b:Person>
            <b:Last>ONU</b:Last>
          </b:Person>
        </b:NameList>
      </b:Author>
    </b:Author>
    <b:Title>Uso de TIC en educación en américa latina y el caribe Análisis regional de la integración de las TIC en la educación y de la aptitud digital (e-readiness) </b:Title>
    <b:Year>2013</b:Year>
    <b:Publisher>Institute de Estadística de la UNESCO</b:Publisher>
    <b:RefOrder>8</b:RefOrder>
  </b:Source>
  <b:Source>
    <b:Tag>Fer093</b:Tag>
    <b:SourceType>JournalArticle</b:SourceType>
    <b:Guid>{773785A5-A3E2-4E43-BBEB-CB8DD4BDF31D}</b:Guid>
    <b:Title> Ventajas del uso de las TICs en el proceso de enseñanza-aprendizaje desde la óptica de los docentes universitarios españoles. 29), </b:Title>
    <b:Year>2009</b:Year>
    <b:Author>
      <b:Author>
        <b:NameList>
          <b:Person>
            <b:Last>Ferro</b:Last>
            <b:First>C.</b:First>
          </b:Person>
          <b:Person>
            <b:Last>Martínez</b:Last>
            <b:First>A.,</b:First>
          </b:Person>
          <b:Person>
            <b:Last>Otero</b:Last>
            <b:First>M.</b:First>
          </b:Person>
        </b:NameList>
      </b:Author>
    </b:Author>
    <b:JournalName>EDUTEC. Revista Electrónica de Tecnología Educativa (</b:JournalName>
    <b:Pages>1-12.</b:Pages>
    <b:RefOrder>9</b:RefOrder>
  </b:Source>
  <b:Source>
    <b:Tag>Rea10</b:Tag>
    <b:SourceType>JournalArticle</b:SourceType>
    <b:Guid>{79B5E98B-9504-4261-8440-837CD5C673DA}</b:Guid>
    <b:Title> “Venezuelan Government Begins Distribution of 350,000 Laptop Computers to School Children”.</b:Title>
    <b:JournalName> Venezuelanalysis.com.</b:JournalName>
    <b:Year>2010</b:Year>
    <b:Author>
      <b:Author>
        <b:NameList>
          <b:Person>
            <b:Last>Reardon</b:Last>
            <b:First>J.</b:First>
          </b:Person>
        </b:NameList>
      </b:Author>
    </b:Author>
    <b:URL>http://venezuelanalysis.com/news/5792</b:URL>
    <b:RefOrder>10</b:RefOrder>
  </b:Source>
  <b:Source>
    <b:Tag>Imp17</b:Tag>
    <b:SourceType>JournalArticle</b:SourceType>
    <b:Guid>{D1E15A0E-F34F-48AE-BFC7-8558CCC68BF4}</b:Guid>
    <b:Title>Impacto de las TIC en la Educación Superior en el Ecuador</b:Title>
    <b:JournalName>Revista Publicando</b:JournalName>
    <b:Year>2017</b:Year>
    <b:Pages>355-368.</b:Pages>
    <b:Author>
      <b:Author>
        <b:NameList>
          <b:Person>
            <b:Last>Vinueza</b:Last>
            <b:First>J.</b:First>
          </b:Person>
          <b:Person>
            <b:Last>Simbaña</b:Last>
            <b:First>D.</b:First>
          </b:Person>
        </b:NameList>
      </b:Author>
    </b:Author>
    <b:RefOrder>11</b:RefOrder>
  </b:Source>
  <b:Source>
    <b:Tag>The08</b:Tag>
    <b:SourceType>Book</b:SourceType>
    <b:Guid>{843B77C2-BF8C-4956-9341-19E1F44EF067}</b:Guid>
    <b:Author>
      <b:Author>
        <b:Corporate>The World Bank</b:Corporate>
      </b:Author>
    </b:Author>
    <b:Title>Knowledge Assessment Methodology</b:Title>
    <b:Year>2008</b:Year>
    <b:RefOrder>12</b:RefOrder>
  </b:Source>
  <b:Source>
    <b:Tag>Cor19</b:Tag>
    <b:SourceType>InternetSite</b:SourceType>
    <b:Guid>{8531C5E6-5F9D-46D8-87DE-515CEADCC624}</b:Guid>
    <b:Title>Corte Constitucional del Ecuador</b:Title>
    <b:Year>2019</b:Year>
    <b:Author>
      <b:Author>
        <b:Corporate>Corte Constitucional del Ecuador</b:Corporate>
      </b:Author>
    </b:Author>
    <b:InternetSiteTitle>Corte Constitucional del Ecuador</b:InternetSiteTitle>
    <b:URL>https://portal.corteconstitucional.gob.ec/Grafos.aspx</b:URL>
    <b:RefOrder>21</b:RefOrder>
  </b:Source>
  <b:Source>
    <b:Tag>Esp20</b:Tag>
    <b:SourceType>JournalArticle</b:SourceType>
    <b:Guid>{A221DB3B-EA90-471D-8ED8-E239323404B4}</b:Guid>
    <b:Author>
      <b:Author>
        <b:NameList>
          <b:Person>
            <b:Last>Espinoza</b:Last>
            <b:First>Eudaldo</b:First>
          </b:Person>
        </b:NameList>
      </b:Author>
    </b:Author>
    <b:Title>Educación intercultural en el Ecuador: Una revisión sistemática</b:Title>
    <b:JournalName>Revista de Ciencias Sociales</b:JournalName>
    <b:Year>2020</b:Year>
    <b:Pages>1-13</b:Pages>
    <b:Volume>26</b:Volume>
    <b:RefOrder>1</b:RefOrder>
  </b:Source>
  <b:Source>
    <b:Tag>Ley15</b:Tag>
    <b:SourceType>Book</b:SourceType>
    <b:Guid>{2624C776-2E9B-4B1B-AB8A-7DCFF1D0A09A}</b:Guid>
    <b:Author>
      <b:Author>
        <b:Corporate>Ley Orgánica de Educación Intercultural</b:Corporate>
      </b:Author>
    </b:Author>
    <b:Year>2015</b:Year>
    <b:City>Quito</b:City>
    <b:Publisher>Registro Oficial</b:Publisher>
    <b:RefOrder>2</b:RefOrder>
  </b:Source>
  <b:Source>
    <b:Tag>Sal14</b:Tag>
    <b:SourceType>InternetSite</b:SourceType>
    <b:Guid>{17AD10A9-83A3-4A78-894A-2FCC06FD6685}</b:Guid>
    <b:Author>
      <b:Author>
        <b:NameList>
          <b:Person>
            <b:Last>Salazar</b:Last>
            <b:First>J.</b:First>
            <b:Middle>Sanchez, P.</b:Middle>
          </b:Person>
        </b:NameList>
      </b:Author>
    </b:Author>
    <b:Title>Cancer</b:Title>
    <b:InternetSiteTitle>La ciencia a tu alcance</b:InternetSiteTitle>
    <b:Year>2014</b:Year>
    <b:URL>http://eprints.uanl.mx/3465/1/El_Cancer.pdf</b:URL>
    <b:RefOrder>1</b:RefOrder>
  </b:Source>
  <b:Source>
    <b:Tag>Ans20</b:Tag>
    <b:SourceType>InternetSite</b:SourceType>
    <b:Guid>{0BBA286E-F1ED-4986-9CC9-0D595905388D}</b:Guid>
    <b:Author>
      <b:Author>
        <b:NameList>
          <b:Person>
            <b:Last>Anstey EH</b:Last>
            <b:First>Chen</b:First>
            <b:Middle>J, Elam-Evans LD, Perrine CG</b:Middle>
          </b:Person>
        </b:NameList>
      </b:Author>
    </b:Author>
    <b:Title>Datos y Estadísticas sobre el Cáncer entre los Hispanos y Latinos 2018-2020</b:Title>
    <b:InternetSiteTitle>American Cancer Society</b:InternetSiteTitle>
    <b:Year>2020</b:Year>
    <b:URL>https://www.cancer.org/content/dam/cancer-org/research/cancer-facts-and-statistics/cancer-facts-and-figures-for-hispanics-and-latinos/cancer-facts-and-figures-for-hispanics-and-latinos-2018-2020-spanish.pdf</b:URL>
    <b:RefOrder>3</b:RefOrder>
  </b:Source>
  <b:Source>
    <b:Tag>Cas20</b:Tag>
    <b:SourceType>InternetSite</b:SourceType>
    <b:Guid>{71995E0F-19FF-4854-B6D6-EB727E2F1969}</b:Guid>
    <b:Author>
      <b:Author>
        <b:NameList>
          <b:Person>
            <b:Last>Castro</b:Last>
            <b:First>J</b:First>
          </b:Person>
        </b:NameList>
      </b:Author>
    </b:Author>
    <b:Title>Cancer Manual de supervivencia </b:Title>
    <b:InternetSiteTitle>Alienta </b:InternetSiteTitle>
    <b:Year>2020</b:Year>
    <b:URL>https://static0planetadelibroscom.cdnstatics.com/libros_contenido_extra/45/44383_Cancer.pdf</b:URL>
    <b:RefOrder>4</b:RefOrder>
  </b:Source>
  <b:Source>
    <b:Tag>Dom13</b:Tag>
    <b:SourceType>InternetSite</b:SourceType>
    <b:Guid>{0C65B1CA-7C50-490B-A897-6E25D9DAC362}</b:Guid>
    <b:Author>
      <b:Author>
        <b:NameList>
          <b:Person>
            <b:Last>Dominguez</b:Last>
            <b:First>N.,</b:First>
            <b:Middle>Huertas, L., Ornelas, R.</b:Middle>
          </b:Person>
        </b:NameList>
      </b:Author>
    </b:Author>
    <b:Title>EFECTOS DE LA SOLUCIÓN DE PROBLEMAS SOBRE LOS COMPORTAMIENTOS DE AUTOCUIDADO DE CUIDADORES DE PACIENTES ONCOLÓGICOS EN FASE PALIATIVA: UN ESTUDIO PILOTO </b:Title>
    <b:InternetSiteTitle>PSICOONCOLOGÍA</b:InternetSiteTitle>
    <b:Year>2013</b:Year>
    <b:URL>https://cuidadospaliativos.org/uploads/2020/12/Asencio%20Solucion%20de%20Problemas.pdf</b:URL>
    <b:RefOrder>5</b:RefOrder>
  </b:Source>
  <b:Source>
    <b:Tag>Vaz16</b:Tag>
    <b:SourceType>InternetSite</b:SourceType>
    <b:Guid>{1CB53B9C-62B4-4A78-8F26-9C2A6B4DF547}</b:Guid>
    <b:Author>
      <b:Author>
        <b:NameList>
          <b:Person>
            <b:Last>Vazquez</b:Last>
            <b:First>A.,</b:First>
            <b:Middle>Machado, J.</b:Middle>
          </b:Person>
        </b:NameList>
      </b:Author>
    </b:Author>
    <b:Title>cuidador primario de enfermo oncológico </b:Title>
    <b:InternetSiteTitle>Scielo </b:InternetSiteTitle>
    <b:Year>2016</b:Year>
    <b:URL>http://scielo.sld.cu/scielo.php?script=sci_arttext&amp;pid=S0864-21252016000300005</b:URL>
    <b:RefOrder>8</b:RefOrder>
  </b:Source>
  <b:Source>
    <b:Tag>Exp08</b:Tag>
    <b:SourceType>InternetSite</b:SourceType>
    <b:Guid>{FF3E3DE9-E082-46B2-8A69-776F2EECA77C}</b:Guid>
    <b:Author>
      <b:Author>
        <b:NameList>
          <b:Person>
            <b:Last>Expósito</b:Last>
            <b:First>Y.</b:First>
          </b:Person>
        </b:NameList>
      </b:Author>
    </b:Author>
    <b:Title>LA CALIDAD DE VIDA EN LOS CUIDADORES PRIMARIOS DE PACIENTES CON CANCER</b:Title>
    <b:InternetSiteTitle>Scielo </b:InternetSiteTitle>
    <b:Year>2008</b:Year>
    <b:URL>http://scielo.sld.cu/scielo.php?pid=S1729-519X2008000300004&amp;script=sci_arttext&amp;tlng=pt</b:URL>
    <b:RefOrder>9</b:RefOrder>
  </b:Source>
  <b:Source>
    <b:Tag>Ber19</b:Tag>
    <b:SourceType>InternetSite</b:SourceType>
    <b:Guid>{B07CDFAC-CC26-4ABC-BDD7-3B9181A1061C}</b:Guid>
    <b:Author>
      <b:Author>
        <b:NameList>
          <b:Person>
            <b:Last>Bernando</b:Last>
            <b:First>C.</b:First>
          </b:Person>
        </b:NameList>
      </b:Author>
    </b:Author>
    <b:Title>PERSPECTIVA DE LA OMS PARA EL DESARROLLO DE CUIDADOS PALIATIVOS EN EL CONTEXTO DE PROGRAMA DE CONTROL</b:Title>
    <b:InternetSiteTitle>Cancer paliativos </b:InternetSiteTitle>
    <b:Year>2019</b:Year>
    <b:URL>https://paliativossinfronteras.org/wp-content/uploads/LA-OMS-Y-LOS-CP-EN-PAISES-EN-DESARROLLO.pdf</b:URL>
    <b:RefOrder>11</b:RefOrder>
  </b:Source>
  <b:Source>
    <b:Tag>Mat04</b:Tag>
    <b:SourceType>InternetSite</b:SourceType>
    <b:Guid>{DDD41BEF-2B5D-4364-BA16-EEC4A4DE6002}</b:Guid>
    <b:Author>
      <b:Author>
        <b:NameList>
          <b:Person>
            <b:Last>Mate</b:Last>
            <b:First>J.,</b:First>
            <b:Middle>María, F.</b:Middle>
          </b:Person>
        </b:NameList>
      </b:Author>
    </b:Author>
    <b:Title>INSOMNIO, ANSIEDAD Y DEPRESIÓN EN EL PACIENTE ONCOLÓGICO</b:Title>
    <b:InternetSiteTitle>PSICOONCOLOGÍA</b:InternetSiteTitle>
    <b:Year>2004</b:Year>
    <b:URL>file:///D:/Documentos%20de%20Lenovo/Downloads/17109-Texto%20del%20art%C3%ADculo-17185-1-10-20110602.PDF</b:URL>
    <b:RefOrder>12</b:RefOrder>
  </b:Source>
  <b:Source>
    <b:Tag>Boe14</b:Tag>
    <b:SourceType>InternetSite</b:SourceType>
    <b:Guid>{3620B1D3-34E5-4E12-B47D-8BFAA29A0702}</b:Guid>
    <b:Author>
      <b:Author>
        <b:NameList>
          <b:Person>
            <b:Last>Boersma</b:Last>
            <b:First>I.</b:First>
          </b:Person>
        </b:NameList>
      </b:Author>
    </b:Author>
    <b:Title>Cuidados paliativos y neurología: hora de un cambio de paradigma</b:Title>
    <b:InternetSiteTitle>Pubmed</b:InternetSiteTitle>
    <b:Year>2014</b:Year>
    <b:URL>https://pubmed.ncbi.nlm.nih.gov/24991027/</b:URL>
    <b:RefOrder>13</b:RefOrder>
  </b:Source>
  <b:Source>
    <b:Tag>Riz16</b:Tag>
    <b:SourceType>InternetSite</b:SourceType>
    <b:Guid>{7A9DA644-0509-4831-A9FB-A17A1709A6AC}</b:Guid>
    <b:Author>
      <b:Author>
        <b:NameList>
          <b:Person>
            <b:Last>Rizo</b:Last>
            <b:First>A.,</b:First>
            <b:Middle>Molina, M., Melero, M., Pagán, P.</b:Middle>
          </b:Person>
        </b:NameList>
      </b:Author>
    </b:Author>
    <b:Title>Caracterización del cuidador primario de enfermo oncológico en estado avanzado</b:Title>
    <b:InternetSiteTitle>Scielo </b:InternetSiteTitle>
    <b:Year>2016</b:Year>
    <b:URL>http://scielo.sld.cu/scielo.php?script=sci_arttext&amp;pid=S0864-21252016000300005</b:URL>
    <b:RefOrder>16</b:RefOrder>
  </b:Source>
  <b:Source>
    <b:Tag>Iba16</b:Tag>
    <b:SourceType>InternetSite</b:SourceType>
    <b:Guid>{715D543F-6BC9-49A4-B464-7B6E6BC3181F}</b:Guid>
    <b:Author>
      <b:Author>
        <b:NameList>
          <b:Person>
            <b:Last>Ibañez</b:Last>
            <b:First>F.</b:First>
          </b:Person>
        </b:NameList>
      </b:Author>
    </b:Author>
    <b:Title>Sobrecarga del cuidador informal de pacientes inmovilizados en una</b:Title>
    <b:InternetSiteTitle>Enfermeria Global </b:InternetSiteTitle>
    <b:Year>2016</b:Year>
    <b:URL>https://scielo.isciii.es/pdf/eg/v15n43/clinica4.pdf</b:URL>
    <b:RefOrder>18</b:RefOrder>
  </b:Source>
  <b:Source>
    <b:Tag>Bel11</b:Tag>
    <b:SourceType>Report</b:SourceType>
    <b:Guid>{664839F6-26BF-48EE-84F3-3344E7831D22}</b:Guid>
    <b:Author>
      <b:Author>
        <b:NameList>
          <b:Person>
            <b:Last>Le Bellec</b:Last>
            <b:First>F.</b:First>
            <b:Middle>Le</b:Middle>
          </b:Person>
          <b:Person>
            <b:Last>Vaillant</b:Last>
            <b:First>F.</b:First>
          </b:Person>
        </b:NameList>
      </b:Author>
    </b:Author>
    <b:Title>Pitahaya (pitaya) ( Hylocereus  spp.)</b:Title>
    <b:Year>2011</b:Year>
    <b:City>France</b:City>
    <b:Publisher>Centre for Agricultural Research and Development (CIRAD)</b:Publisher>
    <b:RefOrder>1</b:RefOrder>
  </b:Source>
  <b:Source>
    <b:Tag>Ale15</b:Tag>
    <b:SourceType>Report</b:SourceType>
    <b:Guid>{683E1D9D-E554-4FE8-AC66-7DF555CC40FC}</b:Guid>
    <b:Author>
      <b:Author>
        <b:NameList>
          <b:Person>
            <b:Last>Delgado</b:Last>
            <b:First>Alexandra</b:First>
          </b:Person>
        </b:NameList>
      </b:Author>
    </b:Author>
    <b:Title>Insectos plagas de importancia económica en el cultivo de pitaya amarilla </b:Title>
    <b:Year>2015</b:Year>
    <b:Publisher>Tecnología para el manejo de pitaya amarilla, Selenicereus megalanthus (K. Schum. ex Vaupel) Moran</b:Publisher>
    <b:City>Colombia </b:City>
    <b:RefOrder>2</b:RefOrder>
  </b:Source>
  <b:Source>
    <b:Tag>Var20</b:Tag>
    <b:SourceType>BookSection</b:SourceType>
    <b:Guid>{76AB2F02-76C8-4FDD-862C-F9860375070B}</b:Guid>
    <b:Title>Manual Técnico del cultivo de pitahaya</b:Title>
    <b:Year>2020</b:Year>
    <b:Publisher>INIAP. Manual N° 117 x. Joya de los  Sachas, Ecuador,</b:Publisher>
    <b:City>INIAP - QUITO</b:City>
    <b:Author>
      <b:Author>
        <b:NameList>
          <b:Person>
            <b:Last>Vargas</b:Last>
            <b:First>Yadira</b:First>
          </b:Person>
          <b:Person>
            <b:Last> Pico</b:Last>
            <b:First>Jimmy</b:First>
          </b:Person>
          <b:Person>
            <b:Last>Diaz</b:Last>
            <b:First>Alejandra </b:First>
          </b:Person>
          <b:Person>
            <b:Last>Burbano</b:Last>
            <b:First>Armando</b:First>
          </b:Person>
          <b:Person>
            <b:Last>Caicedo </b:Last>
            <b:First>Carlos</b:First>
          </b:Person>
          <b:Person>
            <b:Last>Paredes</b:Last>
            <b:First>Nelly</b:First>
          </b:Person>
          <b:Person>
            <b:Last>Congo </b:Last>
            <b:First>Carlos </b:First>
          </b:Person>
          <b:Person>
            <b:Last>Macas </b:Last>
            <b:First>Julio</b:First>
          </b:Person>
          <b:Person>
            <b:Last>Viera </b:Last>
            <b:First>William</b:First>
          </b:Person>
        </b:NameList>
      </b:Author>
    </b:Author>
    <b:Pages>39</b:Pages>
    <b:RefOrder>3</b:RefOrder>
  </b:Source>
  <b:Source>
    <b:Tag>Tru14</b:Tag>
    <b:SourceType>BookSection</b:SourceType>
    <b:Guid>{C64C92DF-26E1-46FF-B407-D35DD51AEAAE}</b:Guid>
    <b:Author>
      <b:Author>
        <b:NameList>
          <b:Person>
            <b:Last>Trujillo</b:Last>
            <b:First>Regalado</b:First>
          </b:Person>
          <b:Person>
            <b:Last> Benjamín</b:Last>
            <b:First> José</b:First>
          </b:Person>
        </b:NameList>
      </b:Author>
    </b:Author>
    <b:Title>Microorganismos asociados a la pudrición blanda del tallo y manchado del fruto en el cultivo de pitahaya amarilla en Ecuador.</b:Title>
    <b:BookTitle>Tesis de grado previo a la obtención del Titulo de Ingeniero Agrónomo. Carrera de Ingeniería Agronómica. </b:BookTitle>
    <b:Year>2014</b:Year>
    <b:Pages>108 p.</b:Pages>
    <b:City>Tumbaco - Pichincha. </b:City>
    <b:Publisher>Quito: UCE. </b:Publisher>
    <b:RefOrder>4</b:RefOrder>
  </b:Source>
  <b:Source>
    <b:Tag>Cañ14</b:Tag>
    <b:SourceType>JournalArticle</b:SourceType>
    <b:Guid>{9D0605C4-7852-4B9A-BD2B-FF3CC2E18EE8}</b:Guid>
    <b:Author>
      <b:Author>
        <b:NameList>
          <b:Person>
            <b:Last>Cañar</b:Last>
            <b:First>D</b:First>
          </b:Person>
          <b:Person>
            <b:Last>Caetano </b:Last>
            <b:First>C</b:First>
          </b:Person>
          <b:Person>
            <b:Last>Bonilla</b:Last>
            <b:First>M</b:First>
          </b:Person>
        </b:NameList>
      </b:Author>
    </b:Author>
    <b:Title>Caracterización fisicoquímica y proximal del fruto de pitahaya amarilla [Selenicereus sp. (K. shum. Ex vapuel) Moran] cultivada en Colombia.</b:Title>
    <b:Year>2014</b:Year>
    <b:JournalName>Agronomía 22(1)</b:JournalName>
    <b:Pages> 77-87.</b:Pages>
    <b:RefOrder>5</b:RefOrder>
  </b:Source>
  <b:Source>
    <b:Tag>Gar13</b:Tag>
    <b:SourceType>InternetSite</b:SourceType>
    <b:Guid>{42EECDED-DE65-4265-8BA6-CF7C7658A95B}</b:Guid>
    <b:Author>
      <b:Author>
        <b:NameList>
          <b:Person>
            <b:Last>Garces</b:Last>
            <b:First>D</b:First>
          </b:Person>
        </b:NameList>
      </b:Author>
    </b:Author>
    <b:Title>Estudio para la creación de una empresa productora y comercializadora de vino de cereza en la provincia de Chimborazo.</b:Title>
    <b:Year>2013</b:Year>
    <b:Month>febrero </b:Month>
    <b:Day>11 </b:Day>
    <b:URL>https://repositorio.espe.edu.ec/bitstream/21000/7123/1/T-ESPE047365.pdf </b:URL>
    <b:RefOrder>6</b:RefOrder>
  </b:Source>
  <b:Source>
    <b:Tag>GIb15</b:Tag>
    <b:SourceType>InternetSite</b:SourceType>
    <b:Guid>{8E7CF778-35C5-4314-8628-A4F547B7A95E}</b:Guid>
    <b:Author>
      <b:Author>
        <b:NameList>
          <b:Person>
            <b:Last>Ibarra</b:Last>
            <b:First>G</b:First>
          </b:Person>
        </b:NameList>
      </b:Author>
    </b:Author>
    <b:Title>Determinación de la osmotolerancia de nueve cepas de levaduras aisladas de frutos de mora para la aplicación industrial en procesos de fermentación alcohólica</b:Title>
    <b:InternetSiteTitle>(Universidad Tecnica de Ambato)</b:InternetSiteTitle>
    <b:Year>2015</b:Year>
    <b:URL>http://repositorio.uta.edu.ec/jspui/bitstream/123456789/12944/1/BQ. 72.pdf</b:URL>
    <b:RefOrder>7</b:RefOrder>
  </b:Source>
  <b:Source>
    <b:Tag>Her17</b:Tag>
    <b:SourceType>Book</b:SourceType>
    <b:Guid>{B42A4F6E-9915-4170-8DEE-A889DE58D6B1}</b:Guid>
    <b:Title>El Estado como Legislador Dañoso y su Responsabilidad Reparadora</b:Title>
    <b:Year>2017</b:Year>
    <b:Publisher>Murillo Editores</b:Publisher>
    <b:City>Quito</b:City>
    <b:Author>
      <b:Author>
        <b:NameList>
          <b:Person>
            <b:Last>Herández Terán</b:Last>
            <b:First>Miguel</b:First>
          </b:Person>
        </b:NameList>
      </b:Author>
    </b:Author>
    <b:RefOrder>1</b:RefOrder>
  </b:Source>
  <b:Source>
    <b:Tag>Con08</b:Tag>
    <b:SourceType>Report</b:SourceType>
    <b:Guid>{12493D89-A916-4BBA-836E-087A694D7985}</b:Guid>
    <b:Title>Constitución de la República del Ecuador</b:Title>
    <b:Year>2008</b:Year>
    <b:RefOrder>2</b:RefOrder>
  </b:Source>
  <b:Source>
    <b:Tag>Mog09</b:Tag>
    <b:SourceType>JournalArticle</b:SourceType>
    <b:Guid>{95113360-A8B0-4022-A76D-0B2900092D0B}</b:Guid>
    <b:Title>La Responsabilidad Estatal en la Constitución del Ecuador  de  2008</b:Title>
    <b:Year>2009</b:Year>
    <b:Author>
      <b:Author>
        <b:NameList>
          <b:Person>
            <b:Last>Mogrovejo Jaramillo</b:Last>
            <b:First>Diego</b:First>
          </b:Person>
        </b:NameList>
      </b:Author>
    </b:Author>
    <b:JournalName>Foro</b:JournalName>
    <b:RefOrder>3</b:RefOrder>
  </b:Source>
  <b:Source>
    <b:Tag>Sto19</b:Tag>
    <b:SourceType>Book</b:SourceType>
    <b:Guid>{9B3F045E-4AEE-4E45-B095-4D2FDBFF877E}</b:Guid>
    <b:Author>
      <b:Author>
        <b:NameList>
          <b:Person>
            <b:Last>Storini</b:Last>
            <b:First>Claudia</b:First>
          </b:Person>
        </b:NameList>
      </b:Author>
    </b:Author>
    <b:Title>Refundación del Constitucionalismo Social</b:Title>
    <b:Year>2019</b:Year>
    <b:City>Quito</b:City>
    <b:Publisher>Corporacíon Editora Nacional</b:Publisher>
    <b:RefOrder>5</b:RefOrder>
  </b:Source>
  <b:Source>
    <b:Tag>Sen12</b:Tag>
    <b:SourceType>Case</b:SourceType>
    <b:Guid>{FEB1B001-9771-4396-A1EF-F02CC5630238}</b:Guid>
    <b:Title>Sentencia No. 067-12-SEP-CC</b:Title>
    <b:Year>2012</b:Year>
    <b:CaseNumber>1116-10-EP</b:CaseNumber>
    <b:Court>Corte Constitucional de Ecuador</b:Court>
    <b:Month>marzo</b:Month>
    <b:Day>27</b:Day>
    <b:RefOrder>6</b:RefOrder>
  </b:Source>
  <b:Source>
    <b:Tag>Sen14</b:Tag>
    <b:SourceType>Case</b:SourceType>
    <b:Guid>{563BE0EF-684E-4A3A-BAE0-A7FFF0678627}</b:Guid>
    <b:Title>Sentencia No. 0189-14-SEP-CC</b:Title>
    <b:CaseNumber>0325-13-EP</b:CaseNumber>
    <b:Court>Corte Constitucional de Ecuador</b:Court>
    <b:Year>2014</b:Year>
    <b:Month>octubre</b:Month>
    <b:Day>22</b:Day>
    <b:RefOrder>7</b:RefOrder>
  </b:Source>
  <b:Source>
    <b:Tag>Tor16</b:Tag>
    <b:SourceType>JournalArticle</b:SourceType>
    <b:Guid>{A45841B2-2A03-45DA-AFD0-2FBEFB042336}</b:Guid>
    <b:Title>Interés Superior del Niño</b:Title>
    <b:Year>2016</b:Year>
    <b:Author>
      <b:Author>
        <b:NameList>
          <b:Person>
            <b:Last>Torrecuadrada García Lozano</b:Last>
            <b:First>Soledad</b:First>
          </b:Person>
        </b:NameList>
      </b:Author>
    </b:Author>
    <b:JournalName>SCIELO</b:JournalName>
    <b:URL>http://www.scielo.org.mx/scielo.php?script=sci_arttext&amp;pid=S1870-46542016000100131</b:URL>
    <b:RefOrder>8</b:RefOrder>
  </b:Source>
  <b:Source>
    <b:Tag>Con081</b:Tag>
    <b:SourceType>BookSection</b:SourceType>
    <b:Guid>{E5C94D0E-7062-45C1-8FB8-D3CB6F2DCB05}</b:Guid>
    <b:Year>2008</b:Year>
    <b:Author>
      <b:Author>
        <b:Corporate> Constitución de la República del Ecuador</b:Corporate>
      </b:Author>
    </b:Author>
    <b:RefOrder>9</b:RefOrder>
  </b:Source>
  <b:Source>
    <b:Tag>Cód03</b:Tag>
    <b:SourceType>BookSection</b:SourceType>
    <b:Guid>{34EC72AA-1755-43D3-A846-DD9362EC0C3B}</b:Guid>
    <b:Author>
      <b:Author>
        <b:Corporate>Código Orgánico de la Niñez y Adolescencia</b:Corporate>
      </b:Author>
    </b:Author>
    <b:Year>2003</b:Year>
    <b:RefOrder>10</b:RefOrder>
  </b:Source>
  <b:Source>
    <b:Tag>Soc24</b:Tag>
    <b:SourceType>Report</b:SourceType>
    <b:Guid>{BEA219B8-588A-467A-8E92-EBC5C8ED6137}</b:Guid>
    <b:Title>Declaración de los Derechos del Niño de Ginebra</b:Title>
    <b:Year>1924</b:Year>
    <b:Author>
      <b:Author>
        <b:Corporate>Sociedad de Naciones</b:Corporate>
      </b:Author>
    </b:Author>
    <b:City>Ginebra</b:City>
    <b:RefOrder>11</b:RefOrder>
  </b:Source>
  <b:Source>
    <b:Tag>Con89</b:Tag>
    <b:SourceType>Book</b:SourceType>
    <b:Guid>{BE465446-3AA6-45E9-908F-9BEEC2448BD7}</b:Guid>
    <b:Author>
      <b:Author>
        <b:Corporate>Convención de los Derechos del Niño, CDN</b:Corporate>
      </b:Author>
    </b:Author>
    <b:Year>1989</b:Year>
    <b:City>New York</b:City>
    <b:RefOrder>12</b:RefOrder>
  </b:Source>
  <b:Source>
    <b:Tag>Cam14</b:Tag>
    <b:SourceType>Book</b:SourceType>
    <b:Guid>{EB812824-3260-4BC7-8337-238D3CA67C6B}</b:Guid>
    <b:Title>Interés Superior del Niño: Técnicas de Reducción de la Discrecionabilidad Abusiva</b:Title>
    <b:Year>2014</b:Year>
    <b:City>Quito</b:City>
    <b:Publisher>Iuris Dicto</b:Publisher>
    <b:Author>
      <b:Author>
        <b:NameList>
          <b:Person>
            <b:Last>Simon Campaña</b:Last>
            <b:First>Farith</b:First>
          </b:Person>
        </b:NameList>
      </b:Author>
    </b:Author>
    <b:RefOrder>13</b:RefOrder>
  </b:Source>
  <b:Source>
    <b:Tag>12At</b:Tag>
    <b:SourceType>Case</b:SourceType>
    <b:Guid>{92B7FAAA-3F14-49D6-AB40-7A93620960C9}</b:Guid>
    <b:Year>2012</b:Year>
    <b:Month>02</b:Month>
    <b:Day>24</b:Day>
    <b:CaseNumber>Atala Riffo  y niñas vs. Chile</b:CaseNumber>
    <b:Court>Corte Interamericana de Derechos Humanos CIDH</b:Court>
    <b:Author>
      <b:Author>
        <b:Corporate>Corte Interamericana de Derechos Humanos CIDH</b:Corporate>
      </b:Author>
    </b:Author>
    <b:RefOrder>14</b:RefOrder>
  </b:Source>
  <b:Source>
    <b:Tag>Com13</b:Tag>
    <b:SourceType>ElectronicSource</b:SourceType>
    <b:Guid>{2472F686-B724-449E-AC40-7F8D322AB37B}</b:Guid>
    <b:Author>
      <b:Author>
        <b:Corporate>Comité de Derechos del Niño</b:Corporate>
      </b:Author>
    </b:Author>
    <b:Title>Observación General No. 14 Sobre el derecho del niño a que su interés superior sea una consideración primordial (Art. 3 párrafo 1)</b:Title>
    <b:Year>2013</b:Year>
    <b:CountryRegion>Naciones Unidas</b:CountryRegion>
    <b:Month>mayo</b:Month>
    <b:Day>13</b:Day>
    <b:RefOrder>15</b:RefOrder>
  </b:Source>
  <b:Source>
    <b:Tag>UNI18</b:Tag>
    <b:SourceType>ArticleInAPeriodical</b:SourceType>
    <b:Guid>{0D7F8232-D133-4648-A6CD-A204AF89FF53}</b:Guid>
    <b:Title>Guía del Interés Superior</b:Title>
    <b:Year>2018</b:Year>
    <b:Author>
      <b:Author>
        <b:Corporate>UNICEF</b:Corporate>
      </b:Author>
    </b:Author>
    <b:URL>https://www.unicef.org/ecuador/media/2406/file/Inter%C3%A9s%20Superior%20del%20Ni%C3%B1o.pdf</b:URL>
    <b:RefOrder>16</b:RefOrder>
  </b:Source>
  <b:Source>
    <b:Tag>12Co</b:Tag>
    <b:SourceType>Case</b:SourceType>
    <b:Guid>{3C342D05-C748-4339-931C-765468B47925}</b:Guid>
    <b:Year>2012</b:Year>
    <b:Month>marzo</b:Month>
    <b:Day>27</b:Day>
    <b:Court>Corte Constitucional del Ecuador</b:Court>
    <b:Title>Sentencia No. 067-12-SEP-CC</b:Title>
    <b:CaseNumber>1116-10-EP</b:CaseNumber>
    <b:RefOrder>17</b:RefOrder>
  </b:Source>
  <b:Source>
    <b:Tag>Sen21</b:Tag>
    <b:SourceType>Case</b:SourceType>
    <b:Guid>{489CD8AC-863A-4B65-BDEC-C45C8A397FF9}</b:Guid>
    <b:Title>Sentencia No. 983-18-JP/21</b:Title>
    <b:CaseNumber>983-18-JP</b:CaseNumber>
    <b:Court>Corte Constitucional del Ecuador</b:Court>
    <b:Year>2021</b:Year>
    <b:Month>agosto</b:Month>
    <b:Day>25</b:Day>
    <b:RefOrder>18</b:RefOrder>
  </b:Source>
  <b:Source>
    <b:Tag>1700</b:Tag>
    <b:SourceType>Case</b:SourceType>
    <b:Guid>{30E19413-16AA-4FD4-9EA1-62435BED0366}</b:Guid>
    <b:CaseNumber>0026-10-IN. 0031-10-IN. 0052-16-IN. Acumulados</b:CaseNumber>
    <b:Court>Corte Constitucional del Ecuador</b:Court>
    <b:Year>2017</b:Year>
    <b:Month>Mayo</b:Month>
    <b:Day>10</b:Day>
    <b:RefOrder>19</b:RefOrder>
  </b:Source>
  <b:Source>
    <b:Tag>Von87</b:Tag>
    <b:SourceType>Book</b:SourceType>
    <b:Guid>{3D8FB49C-5E69-4CD1-BF55-6968520C6FDF}</b:Guid>
    <b:Author>
      <b:Author>
        <b:NameList>
          <b:Person>
            <b:Last>Vonadovic</b:Last>
            <b:First>Antonio</b:First>
          </b:Person>
        </b:NameList>
      </b:Author>
    </b:Author>
    <b:Title> Derecho de Alimentos</b:Title>
    <b:Year>1987</b:Year>
    <b:City>Santiago de Chile</b:City>
    <b:Publisher>Ediar-Conosur Ltda.</b:Publisher>
    <b:RefOrder>21</b:RefOrder>
  </b:Source>
  <b:Source>
    <b:Tag>Asa20</b:Tag>
    <b:SourceType>Report</b:SourceType>
    <b:Guid>{B559450D-0CB9-4557-BAF3-2EDEC4A451BA}</b:Guid>
    <b:Title>Proyecto de Ley del Código Orgánico de Protección Integral de Niños, Niñas y Adolescentes</b:Title>
    <b:Year>2020</b:Year>
    <b:City>Quito</b:City>
    <b:Author>
      <b:Author>
        <b:Corporate>Asamblea Nacional Constituyente del Ecuador</b:Corporate>
      </b:Author>
    </b:Author>
    <b:RefOrder>22</b:RefOrder>
  </b:Source>
  <b:Source>
    <b:Tag>Uni21</b:Tag>
    <b:SourceType>Report</b:SourceType>
    <b:Guid>{A398BEDE-7D52-4A80-A170-0D302BD0D64B}</b:Guid>
    <b:Title>Impacto del  Covid-19 en Ecuador</b:Title>
    <b:Year>2021</b:Year>
    <b:Publisher>Cesla</b:Publisher>
    <b:City>Loja</b:City>
    <b:Author>
      <b:Author>
        <b:Corporate>Universidad Técnica Particular de Loja</b:Corporate>
      </b:Author>
    </b:Author>
    <b:URL>file:///C:/Users/Asus/Desktop/Metodolog%C3%ADa%20de%20Investigaci%C3%B3n%20Anita%20Zamora/Recopilaci%C3%B3n%20de%20Informaci%C3%B3n%20Art%C3%ADculo/Informe_economia_Ecuador_mayo_2020.pdf</b:URL>
    <b:RefOrder>23</b:RefOrder>
  </b:Source>
  <b:Source>
    <b:Tag>Sim083</b:Tag>
    <b:SourceType>Book</b:SourceType>
    <b:Guid>{5423355A-BF2A-4F61-A600-12FE69F8296C}</b:Guid>
    <b:Title>Derechos de la Niñez y Adolescencia: De la Convención sobre los Derechos del Niño a las Legislaciones Integrales</b:Title>
    <b:Year>2008</b:Year>
    <b:City>Quito</b:City>
    <b:Author>
      <b:Author>
        <b:NameList>
          <b:Person>
            <b:Last>Simon</b:Last>
            <b:First>Farith</b:First>
          </b:Person>
        </b:NameList>
      </b:Author>
    </b:Author>
    <b:Volume>I</b:Volume>
    <b:RefOrder>24</b:RefOrder>
  </b:Source>
  <b:Source>
    <b:Tag>Zut201</b:Tag>
    <b:SourceType>DocumentFromInternetSite</b:SourceType>
    <b:Guid>{1DCC95C2-4090-4370-83D1-C04099AF1F5B}</b:Guid>
    <b:Title>Pólemos</b:Title>
    <b:Year>2020</b:Year>
    <b:Month>octubre</b:Month>
    <b:Day>30</b:Day>
    <b:Author>
      <b:Author>
        <b:NameList>
          <b:Person>
            <b:Last>Zuta Vidal</b:Last>
            <b:First>Erika</b:First>
          </b:Person>
          <b:Person>
            <b:Last>Cruz Espinoza</b:Last>
            <b:First>Peter</b:First>
          </b:Person>
        </b:NameList>
      </b:Author>
    </b:Author>
    <b:InternetSiteTitle>Portal Jurídico Interdisciplinario</b:InternetSiteTitle>
    <b:URL>https://polemos.pe/los-procesos-de-alimentos-de-ninos-ninas-y-adolescentes-en-tiempos-de-covid-19/</b:URL>
    <b:RefOrder>25</b:RefOrder>
  </b:Source>
  <b:Source>
    <b:Tag>Val12</b:Tag>
    <b:SourceType>JournalArticle</b:SourceType>
    <b:Guid>{41DBFB6E-BC0D-44FD-B4B0-0BDFF4000B62}</b:Guid>
    <b:Title>Efectividad del Apremio Personal</b:Title>
    <b:Year>2012</b:Year>
    <b:Author>
      <b:Author>
        <b:NameList>
          <b:Person>
            <b:Last>Valladares Paz</b:Last>
            <b:First>Rosa</b:First>
          </b:Person>
        </b:NameList>
      </b:Author>
    </b:Author>
    <b:JournalName>Illumanta</b:JournalName>
    <b:Pages>103</b:Pages>
    <b:RefOrder>26</b:RefOrder>
  </b:Source>
  <b:Source>
    <b:Tag>Sen121</b:Tag>
    <b:SourceType>Case</b:SourceType>
    <b:Guid>{9B20D0E4-9758-4FC8-BA7C-2046057A023D}</b:Guid>
    <b:Title>Sentencia No. 067-12-SEP-CC</b:Title>
    <b:Year>2012</b:Year>
    <b:CaseNumber>1116-10-EP</b:CaseNumber>
    <b:Court>Corte Constitucional Para el Período de Transición</b:Court>
    <b:Month>Marzo</b:Month>
    <b:Day>27</b:Day>
    <b:RefOrder>27</b:RefOrder>
  </b:Source>
  <b:Source>
    <b:Tag>Hol11</b:Tag>
    <b:SourceType>Book</b:SourceType>
    <b:Guid>{F65846B3-CC41-4A77-BFCC-6073B30EEE62}</b:Guid>
    <b:Title>El Costo de los Derechos</b:Title>
    <b:Year>2011</b:Year>
    <b:Author>
      <b:Author>
        <b:NameList>
          <b:Person>
            <b:Last>Stephen</b:Last>
            <b:First>Holmes</b:First>
          </b:Person>
          <b:Person>
            <b:Last>Cass</b:Last>
            <b:First>R</b:First>
          </b:Person>
        </b:NameList>
      </b:Author>
    </b:Author>
    <b:City>Buenos Aires</b:City>
    <b:Publisher>Siglo Veintiuno</b:Publisher>
    <b:RefOrder>28</b:RefOrder>
  </b:Source>
  <b:Source>
    <b:Tag>Sen18</b:Tag>
    <b:SourceType>Case</b:SourceType>
    <b:Guid>{905DFD3E-5354-44C4-97F2-4119B81CE747}</b:Guid>
    <b:Title>Sentencia No. 003-18-P.JO-CC </b:Title>
    <b:Year>2018</b:Year>
    <b:CaseNumber>0775-11-.JP</b:CaseNumber>
    <b:Court>Corte Constitucional del Ecuador</b:Court>
    <b:Month>junio</b:Month>
    <b:Day>27</b:Day>
    <b:RefOrder>29</b:RefOrder>
  </b:Source>
  <b:Source>
    <b:Tag>Sen211</b:Tag>
    <b:SourceType>Case</b:SourceType>
    <b:Guid>{3011DAC2-0185-4568-BD99-F593E2E16C84}</b:Guid>
    <b:Title>Sentencia No. 983-18-JP/21</b:Title>
    <b:CaseNumber>983-18-JP</b:CaseNumber>
    <b:Court>Corte Constitucional del Ecuador</b:Court>
    <b:Year>2021</b:Year>
    <b:Month>agosto</b:Month>
    <b:Day>25</b:Day>
    <b:RefOrder>30</b:RefOrder>
  </b:Source>
  <b:Source>
    <b:Tag>Asa201</b:Tag>
    <b:SourceType>Report</b:SourceType>
    <b:Guid>{725F5191-B541-492E-A77D-C014FF212DA8}</b:Guid>
    <b:Title>Proyecto de Código Orgánico de Protección Integral de Niños, Niñas y Adolescentes</b:Title>
    <b:Year>2020</b:Year>
    <b:City>Quito</b:City>
    <b:Author>
      <b:Author>
        <b:Corporate>Asamblea Nacional Constituyente</b:Corporate>
      </b:Author>
    </b:Author>
    <b:RefOrder>31</b:RefOrder>
  </b:Source>
  <b:Source>
    <b:Tag>Alv02</b:Tag>
    <b:SourceType>Book</b:SourceType>
    <b:Guid>{E9227E5B-289D-484E-B3A7-6969A8030A52}</b:Guid>
    <b:Title>Metodología de la Investigación Jurídica</b:Title>
    <b:Year>2002</b:Year>
    <b:Author>
      <b:Author>
        <b:NameList>
          <b:Person>
            <b:Last>Alvarez Undurraga</b:Last>
            <b:First>Gabriel</b:First>
          </b:Person>
        </b:NameList>
      </b:Author>
    </b:Author>
    <b:City>Santiago de Chile</b:City>
    <b:RefOrder>32</b:RefOrder>
  </b:Source>
  <b:Source>
    <b:Tag>Elg</b:Tag>
    <b:SourceType>Book</b:SourceType>
    <b:Guid>{D99825D9-EE72-4817-91E2-BA759A6D0264}</b:Guid>
    <b:Author>
      <b:Author>
        <b:NameList>
          <b:Person>
            <b:Last>Elgueta Rosas</b:Last>
            <b:First>María</b:First>
            <b:Middle>Francisca</b:Middle>
          </b:Person>
          <b:Person>
            <b:Last>Palma González</b:Last>
            <b:First>Eric</b:First>
            <b:Middle>Eduardo</b:Middle>
          </b:Person>
        </b:NameList>
      </b:Author>
    </b:Author>
    <b:Title>La investigación en las Ciencias Sociales y Jurídicas</b:Title>
    <b:Publisher>Universidad de Chile</b:Publisher>
    <b:RefOrder>1</b:RefOrder>
  </b:Source>
  <b:Source>
    <b:Tag>MarcadorDePosición1</b:Tag>
    <b:SourceType>JournalArticle</b:SourceType>
    <b:Guid>{B45D654F-20DB-49FD-9D3A-04BB595A295D}</b:Guid>
    <b:Author>
      <b:Author>
        <b:NameList>
          <b:Person>
            <b:Last>Quito</b:Last>
            <b:First>Mauricio</b:First>
          </b:Person>
          <b:Person>
            <b:Last>Castro</b:Last>
            <b:First>Janeth</b:First>
          </b:Person>
          <b:Person>
            <b:Last>Reátegui</b:Last>
            <b:First>Gladys</b:First>
          </b:Person>
          <b:Person>
            <b:Last>Sánchez</b:Last>
            <b:First>Mario</b:First>
          </b:Person>
        </b:NameList>
      </b:Author>
    </b:Author>
    <b:Title>Procedencia de la rendición de cuentas por parte del administrador de pensión </b:Title>
    <b:JournalName>Revista Científica Mundo de la Investigación y el Conocimiento. Vol. 3 núm.1</b:JournalName>
    <b:Year>2019</b:Year>
    <b:Pages>1284-1305</b:Pages>
    <b:RefOrder>1</b:RefOrder>
  </b:Source>
  <b:Source>
    <b:Tag>Her18</b:Tag>
    <b:SourceType>JournalArticle</b:SourceType>
    <b:Guid>{A669BE0B-AC1C-46AF-B70E-25571D13AD16}</b:Guid>
    <b:Title>Investigación cualitativa y análisis de contenido temático. Orientación intelectual de revista Universum</b:Title>
    <b:Year>2018</b:Year>
    <b:Author>
      <b:Author>
        <b:NameList>
          <b:Person>
            <b:Last>Herrera</b:Last>
            <b:First>Claudio</b:First>
          </b:Person>
        </b:NameList>
      </b:Author>
    </b:Author>
    <b:JournalName>Revista General de Información y Documentación</b:JournalName>
    <b:Pages>119-142</b:Pages>
    <b:RefOrder>2</b:RefOrder>
  </b:Source>
  <b:Source>
    <b:Tag>Mez20</b:Tag>
    <b:SourceType>JournalArticle</b:SourceType>
    <b:Guid>{76D0AE16-FFF5-4226-A018-6871824B278F}</b:Guid>
    <b:Author>
      <b:Author>
        <b:NameList>
          <b:Person>
            <b:Last>Meza-Salcedo</b:Last>
            <b:First>Guillermo</b:First>
          </b:Person>
          <b:Person>
            <b:Last>Rubio-Rodríguez</b:Last>
            <b:First>Gustavo</b:First>
          </b:Person>
          <b:Person>
            <b:Last>Mesa</b:Last>
            <b:First>Leidy</b:First>
          </b:Person>
          <b:Person>
            <b:Last>Blandón</b:Last>
            <b:First>Alexander</b:First>
          </b:Person>
        </b:NameList>
      </b:Author>
    </b:Author>
    <b:Title>Carácter formativo y pedagógico de la revisión de literatura en la investigación</b:Title>
    <b:JournalName>Información Tecnológica</b:JournalName>
    <b:Year>2020</b:Year>
    <b:Pages>153-162</b:Pages>
    <b:RefOrder>3</b:RefOrder>
  </b:Source>
  <b:Source>
    <b:Tag>Sot19</b:Tag>
    <b:SourceType>JournalArticle</b:SourceType>
    <b:Guid>{9A7D56CB-A3FA-4881-9ACA-ABC35D4FF1E3}</b:Guid>
    <b:Author>
      <b:Author>
        <b:NameList>
          <b:Person>
            <b:Last>Soto</b:Last>
            <b:First>Javier</b:First>
          </b:Person>
        </b:NameList>
      </b:Author>
    </b:Author>
    <b:Title>El Método Abductivo De Investigación Científica. Sus Orígenes En El Romanticismo Oscuro Estadounidense Y Algunas Reflexiones Y Ejemplos En Torno A Contextos Multiculturales Y La Enseñanza De La Música En La Desglobalización</b:Title>
    <b:JournalName>Neuma (Talca); Vol 12, No 1</b:JournalName>
    <b:Year>2019</b:Year>
    <b:Pages>60-75</b:Pages>
    <b:RefOrder>4</b:RefOrder>
  </b:Source>
  <b:Source>
    <b:Tag>Con202</b:Tag>
    <b:SourceType>InternetSite</b:SourceType>
    <b:Guid>{B1090260-9CA6-4825-B587-ED8604DC55DD}</b:Guid>
    <b:Title>Gestión Centro Nacional de Mediación de la Función Judicial</b:Title>
    <b:Year>2020</b:Year>
    <b:Author>
      <b:Author>
        <b:Corporate>Consejo de la Judicatura</b:Corporate>
      </b:Author>
    </b:Author>
    <b:URL>https://www.funcionjudicial.gob.ec/mediacion/index.php/2015-04-13-21-21-55/datos-estadisticos#ingreso-de-causas-por-tipo-2020</b:URL>
    <b:RefOrder>5</b:RefOrder>
  </b:Source>
  <b:Source>
    <b:Tag>LaH19</b:Tag>
    <b:SourceType>InternetSite</b:SourceType>
    <b:Guid>{F8EC1032-C0D5-4C09-8B67-026D832AA1FF}</b:Guid>
    <b:Title>La necesidad de legislar la Tenencia Compartida en el Ecuador</b:Title>
    <b:Year>2019</b:Year>
    <b:Author>
      <b:Author>
        <b:Corporate>La Hora</b:Corporate>
      </b:Author>
    </b:Author>
    <b:URL>https://lahora.com.ec/noticia/1102295311/la-necesidad-de-legislar-la-tenencia-compartida-en-el-ecuador</b:URL>
    <b:RefOrder>6</b:RefOrder>
  </b:Source>
  <b:Source>
    <b:Tag>Váz20</b:Tag>
    <b:SourceType>JournalArticle</b:SourceType>
    <b:Guid>{5CE3401F-66CE-41BD-8F68-F191810B4B4B}</b:Guid>
    <b:Title>La tenencia compartida, alcances y su aplicación en el Ecuador</b:Title>
    <b:Year>2020</b:Year>
    <b:Author>
      <b:Author>
        <b:NameList>
          <b:Person>
            <b:Last>Vázquez</b:Last>
            <b:First>Cristian</b:First>
          </b:Person>
          <b:Person>
            <b:Last>Narváez</b:Last>
            <b:First>Cecilia</b:First>
          </b:Person>
          <b:Person>
            <b:Last>Trelles</b:Last>
            <b:First>Diego</b:First>
          </b:Person>
          <b:Person>
            <b:Last>Erazo</b:Last>
            <b:First>Juan</b:First>
          </b:Person>
        </b:NameList>
      </b:Author>
    </b:Author>
    <b:JournalName>Iustitia Socialis. Revista Arbitrada de Ciencias Jurídicas, Año V, Vol. V, N°1.</b:JournalName>
    <b:Pages>474-491</b:Pages>
    <b:RefOrder>7</b:RefOrder>
  </b:Source>
  <b:Source>
    <b:Tag>Ber201</b:Tag>
    <b:SourceType>JournalArticle</b:SourceType>
    <b:Guid>{6FF5DDF3-756C-4401-B766-E08B21BAECC9}</b:Guid>
    <b:Title>Vulneración en el principio de igualdad en la tenencia de hijos menores de edad</b:Title>
    <b:Year>2020</b:Year>
    <b:Author>
      <b:Author>
        <b:NameList>
          <b:Person>
            <b:Last>Bermeo-Cabrera</b:Last>
            <b:First>Francisco</b:First>
          </b:Person>
          <b:Person>
            <b:Last>Pauta-Cedillo</b:Last>
            <b:First>William</b:First>
          </b:Person>
        </b:NameList>
      </b:Author>
    </b:Author>
    <b:JournalName>Polo del Conocimiento, Vol. 5, No 08</b:JournalName>
    <b:Pages>1114-1133</b:Pages>
    <b:RefOrder>10</b:RefOrder>
  </b:Source>
  <b:Source>
    <b:Tag>Arg204</b:Tag>
    <b:SourceType>JournalArticle</b:SourceType>
    <b:Guid>{2F6F0707-438A-47F6-BFDB-0FFE0A7F2DDB}</b:Guid>
    <b:Author>
      <b:Author>
        <b:NameList>
          <b:Person>
            <b:Last>Argoti</b:Last>
            <b:First>Edwin</b:First>
          </b:Person>
        </b:NameList>
      </b:Author>
    </b:Author>
    <b:Title>La prisión por el no pago de pensiones alimenticias</b:Title>
    <b:JournalName>Revista de la Facultad de Jurisprudencia de la Universidad Central del Ecuador</b:JournalName>
    <b:Year>2020</b:Year>
    <b:Pages>98-120</b:Pages>
    <b:RefOrder>8</b:RefOrder>
  </b:Source>
  <b:Source>
    <b:Tag>Con141</b:Tag>
    <b:SourceType>Report</b:SourceType>
    <b:Guid>{6433288C-086A-4A3B-99BA-859A35FB0439}</b:Guid>
    <b:Title>Código de la Niñez y Adolescencia</b:Title>
    <b:Year>2014</b:Year>
    <b:Author>
      <b:Author>
        <b:Corporate>Congreso Nacional</b:Corporate>
      </b:Author>
    </b:Author>
    <b:Publisher>Registro Oficial 737 de 03-ene.-2003</b:Publisher>
    <b:City>Quito</b:City>
    <b:RefOrder>12</b:RefOrder>
  </b:Source>
  <b:Source>
    <b:Tag>Con151</b:Tag>
    <b:SourceType>Report</b:SourceType>
    <b:Guid>{51E9E3D4-C33D-46C4-BFDA-0C6D296CE3AB}</b:Guid>
    <b:Author>
      <b:Author>
        <b:Corporate>Consejo de la Judicatura</b:Corporate>
      </b:Author>
    </b:Author>
    <b:Title>Reglamento del Sistema Integral de Pensiones Alimenticias de la Función Judicial</b:Title>
    <b:Year>2015</b:Year>
    <b:Publisher>Resolución 198-2015</b:Publisher>
    <b:City>Quito</b:City>
    <b:RefOrder>13</b:RefOrder>
  </b:Source>
  <b:Source>
    <b:Tag>Asa083</b:Tag>
    <b:SourceType>Report</b:SourceType>
    <b:Guid>{E398F27A-5DEC-459E-9B6B-4F1481842FD1}</b:Guid>
    <b:Title>Constitución De La Republica Del Ecuador 2008</b:Title>
    <b:Year>2008</b:Year>
    <b:Author>
      <b:Author>
        <b:Corporate>Asamblea Nacional Constituyente</b:Corporate>
      </b:Author>
    </b:Author>
    <b:Publisher>República del Ecuador</b:Publisher>
    <b:City>Quito</b:City>
    <b:RefOrder>9</b:RefOrder>
  </b:Source>
  <b:Source>
    <b:Tag>ElC17</b:Tag>
    <b:SourceType>InternetSite</b:SourceType>
    <b:Guid>{782DB5E4-B447-4DA9-A7C2-122D6F68E120}</b:Guid>
    <b:Title>La tenencia compartida tendrá reglas, según reforma al Código de la Niñez</b:Title>
    <b:Year>2017</b:Year>
    <b:Author>
      <b:Author>
        <b:Corporate>El Comercio</b:Corporate>
      </b:Author>
    </b:Author>
    <b:URL>https://www.elcomercio.com/tendencias/sociedad/tenencia-compartida-hijos-reglas-codigodelaninez.html</b:URL>
    <b:RefOrder>14</b:RefOrder>
  </b:Source>
  <b:Source>
    <b:Tag>Reg</b:Tag>
    <b:SourceType>Report</b:SourceType>
    <b:Guid>{68ECDFCE-907F-47DF-90B1-42CD36BC90FE}</b:Guid>
    <b:Publisher>Registro Oficial Suplemento 46 del 24-Jun-2005</b:Publisher>
    <b:Title>Código Civil</b:Title>
    <b:Author>
      <b:Author>
        <b:Corporate>Honorable Congreso Nacional</b:Corporate>
      </b:Author>
    </b:Author>
    <b:Year>2019</b:Year>
    <b:City>Quito</b:City>
    <b:RefOrder>15</b:RefOrder>
  </b:Source>
  <b:Source>
    <b:Tag>Con03</b:Tag>
    <b:SourceType>Report</b:SourceType>
    <b:Guid>{2F450B74-6D27-48FB-A765-B7576ADF36A0}</b:Guid>
    <b:Title>Código de la Niñez y Adolescencia</b:Title>
    <b:Year>2003</b:Year>
    <b:Author>
      <b:Author>
        <b:Corporate>Congreso Nacional</b:Corporate>
      </b:Author>
    </b:Author>
    <b:Publisher>Ley No. 2002-100</b:Publisher>
    <b:City>Quito</b:City>
    <b:RefOrder>11</b:RefOrder>
  </b:Source>
  <b:Source>
    <b:Tag>Mil19</b:Tag>
    <b:SourceType>Report</b:SourceType>
    <b:Guid>{7DA69F24-A488-43AE-8977-0B513249D511}</b:Guid>
    <b:Author>
      <b:Author>
        <b:NameList>
          <b:Person>
            <b:Last>Milton</b:Last>
            <b:First>García</b:First>
          </b:Person>
          <b:Person>
            <b:Last>Falconí</b:Last>
            <b:First>Robert</b:First>
            <b:Middle>A</b:Middle>
          </b:Person>
        </b:NameList>
      </b:Author>
    </b:Author>
    <b:Title>Las reglas para la tenencia de los hijos menores de edad cuyos Padres se divorcian y los Derechos de estos</b:Title>
    <b:Year>2019</b:Year>
    <b:Publisher>Universidad Nacional de Chimborazo</b:Publisher>
    <b:City>Riobamba</b:City>
    <b:RefOrder>16</b:RefOrder>
  </b:Source>
  <b:Source>
    <b:Tag>Héc14</b:Tag>
    <b:SourceType>Report</b:SourceType>
    <b:Guid>{89E91791-6A45-4B71-9992-365116B9EC48}</b:Guid>
    <b:Author>
      <b:Author>
        <b:NameList>
          <b:Person>
            <b:Last>Ramos</b:Last>
            <b:First>Héctor</b:First>
          </b:Person>
          <b:Person>
            <b:Last>Tinajero</b:Last>
            <b:First>Renán</b:First>
          </b:Person>
        </b:NameList>
      </b:Author>
    </b:Author>
    <b:Title>Tenencia de los hijos menores de edad luego del divorcio o separación encaminada a la tenencia compartida de los padres</b:Title>
    <b:Year>2014</b:Year>
    <b:Publisher>Universidad Central del Ecuador</b:Publisher>
    <b:City>Quito</b:City>
    <b:RefOrder>18</b:RefOrder>
  </b:Source>
  <b:Source>
    <b:Tag>REP21</b:Tag>
    <b:SourceType>Report</b:SourceType>
    <b:Guid>{CEBFC4ED-958B-41BB-B902-7B7127A0093C}</b:Guid>
    <b:Title>Código Orgánico General de Procesos, COGEP</b:Title>
    <b:Year>2021</b:Year>
    <b:Author>
      <b:Author>
        <b:Corporate>República del Ecuador</b:Corporate>
      </b:Author>
    </b:Author>
    <b:Publisher>Registro Oficial Suplemento 506 de 22-may.-2015</b:Publisher>
    <b:City>Quito</b:City>
    <b:RefOrder>19</b:RefOrder>
  </b:Source>
  <b:Source>
    <b:Tag>Mur202</b:Tag>
    <b:SourceType>JournalArticle</b:SourceType>
    <b:Guid>{3CE35E56-F394-4912-BC8A-3A60D78C61FA}</b:Guid>
    <b:Title>Viabilidad de la tenencia compartida conforme el bloque de constitucionalidad ecuatoriano</b:Title>
    <b:Year>2020</b:Year>
    <b:Author>
      <b:Author>
        <b:NameList>
          <b:Person>
            <b:Last>Murillo</b:Last>
            <b:First>Christian</b:First>
          </b:Person>
          <b:Person>
            <b:Last>Vázquez</b:Last>
            <b:First>José</b:First>
          </b:Person>
        </b:NameList>
      </b:Author>
    </b:Author>
    <b:JournalName>FIPCAEC (Edición 20) Vol. 5, No 3</b:JournalName>
    <b:Pages>637-667</b:Pages>
    <b:RefOrder>17</b:RefOrder>
  </b:Source>
  <b:Source>
    <b:Tag>Cue15</b:Tag>
    <b:SourceType>JournalArticle</b:SourceType>
    <b:Guid>{2514831A-BDBB-4F77-B1DA-5BD8879E3F00}</b:Guid>
    <b:Author>
      <b:Author>
        <b:NameList>
          <b:Person>
            <b:Last>Cuetos</b:Last>
            <b:First>F</b:First>
          </b:Person>
          <b:Person>
            <b:Last>Suarez</b:Last>
            <b:First>P</b:First>
          </b:Person>
          <b:Person>
            <b:Last>Molina</b:Last>
            <b:First>M</b:First>
          </b:Person>
        </b:NameList>
      </b:Author>
    </b:Author>
    <b:Title>Test para la detección temprana de las dificultades en el aprendizaje de la lectura y escritura</b:Title>
    <b:Year>2015</b:Year>
    <b:Publisher>Pediatría Atención Primaria</b:Publisher>
    <b:City>Madrid</b:City>
    <b:JournalName>Pediatría Atención Primaria</b:JournalName>
    <b:Pages>99-107</b:Pages>
    <b:Volume>17</b:Volume>
    <b:Issue>66</b:Issue>
    <b:URL>https://scielo.isciii.es/scielo.php?script=sci_arttext&amp;pid=S1139-76322015000300002</b:URL>
    <b:RefOrder>1</b:RefOrder>
  </b:Source>
  <b:Source>
    <b:Tag>Ser15</b:Tag>
    <b:SourceType>DocumentFromInternetSite</b:SourceType>
    <b:Guid>{13D62D58-2307-4CCD-8E5C-7AA3A3CEEFFC}</b:Guid>
    <b:Author>
      <b:Author>
        <b:NameList>
          <b:Person>
            <b:Last>Serna</b:Last>
            <b:First>Rosa</b:First>
          </b:Person>
        </b:NameList>
      </b:Author>
    </b:Author>
    <b:Title>Diseño, desarrollo y evaluación de un programa de acceso a la lectoescritura para alumnado con graves problemas de aprendizaje</b:Title>
    <b:Year>2015</b:Year>
    <b:InternetSiteTitle>Universidad de Murcia</b:InternetSiteTitle>
    <b:URL>https://dialnet.unirioja.es/servlet/tesis?codigo=126318</b:URL>
    <b:RefOrder>2</b:RefOrder>
  </b:Source>
  <b:Source>
    <b:Tag>Lla181</b:Tag>
    <b:SourceType>DocumentFromInternetSite</b:SourceType>
    <b:Guid>{BC1A8C86-FCCB-4B0F-A40F-3620969ED192}</b:Guid>
    <b:Author>
      <b:Author>
        <b:NameList>
          <b:Person>
            <b:Last>Llanqui</b:Last>
            <b:First>N</b:First>
          </b:Person>
          <b:Person>
            <b:Last>Suntasig</b:Last>
            <b:First>G</b:First>
          </b:Person>
        </b:NameList>
      </b:Author>
    </b:Author>
    <b:Title>Estrategias activas de lectoescritura</b:Title>
    <b:Year>2018</b:Year>
    <b:InternetSiteTitle>Universidad Técnica de Cotopaxi</b:InternetSiteTitle>
    <b:URL>http://repositorio.utc.edu.ec/handle/27000/4537</b:URL>
    <b:RefOrder>3</b:RefOrder>
  </b:Source>
  <b:Source>
    <b:Tag>Men19</b:Tag>
    <b:SourceType>DocumentFromInternetSite</b:SourceType>
    <b:Guid>{BB683ED2-42D4-4A4F-A3EA-284112191943}</b:Guid>
    <b:Title>Sistema de actividades para el desarrollo de la escritura.</b:Title>
    <b:Year>2019</b:Year>
    <b:Author>
      <b:Author>
        <b:NameList>
          <b:Person>
            <b:Last>Meneses</b:Last>
            <b:First>L</b:First>
          </b:Person>
          <b:Person>
            <b:Last>Vargas</b:Last>
            <b:First>A</b:First>
          </b:Person>
        </b:NameList>
      </b:Author>
    </b:Author>
    <b:InternetSiteTitle>Repositorio UNAE</b:InternetSiteTitle>
    <b:URL>http://repositorio.unae.edu.ec/bitstream/56000/1135/1/Sistema%20de%20actividades%20para%20el%20desarollo%20de%20la%20escritura%20creativa%20en%20estudiantes%20de%204%C2%B0%20grado%20de%20la%20educaci%C3%B3n%20General%20B%C3%A1sica%20Meneses%20y%20%20Varga</b:URL>
    <b:RefOrder>4</b:RefOrder>
  </b:Source>
  <b:Source>
    <b:Tag>Car18</b:Tag>
    <b:SourceType>DocumentFromInternetSite</b:SourceType>
    <b:Guid>{3FD75FBD-8A4A-452D-898B-7032D992DE54}</b:Guid>
    <b:Author>
      <b:Author>
        <b:NameList>
          <b:Person>
            <b:Last>Cardenas</b:Last>
            <b:First>R</b:First>
          </b:Person>
          <b:Person>
            <b:Last>Ortega</b:Last>
            <b:First>T.</b:First>
          </b:Person>
        </b:NameList>
      </b:Author>
    </b:Author>
    <b:Title>Estrategias metodologicaspara mejorar el proceso de lectoescritura de septim grado de la Escuela E.G.B. Antonio Mancilla, año 2017-2018</b:Title>
    <b:Year>2018</b:Year>
    <b:InternetSiteTitle> Universidad Politecnica Salesiana</b:InternetSiteTitle>
    <b:URL>https://dspace.ups.edu.ec/bitstream/123456789/16338/1/UPS-CT007960.pdf</b:URL>
    <b:RefOrder>5</b:RefOrder>
  </b:Source>
  <b:Source>
    <b:Tag>Cel21</b:Tag>
    <b:SourceType>DocumentFromInternetSite</b:SourceType>
    <b:Guid>{898BC323-862C-46C5-B7FA-9B988ACF621F}</b:Guid>
    <b:Title>Estrategias didacticas para la enseñanza de la lectoescritura en estudiantes de sexto grado de la Escuela Zoila Ugarte de Landívar.</b:Title>
    <b:Year>2021</b:Year>
    <b:Author>
      <b:Author>
        <b:NameList>
          <b:Person>
            <b:Last>Celi</b:Last>
            <b:First>Diego</b:First>
          </b:Person>
          <b:Person>
            <b:Last>Salinas</b:Last>
            <b:First>Yenny</b:First>
          </b:Person>
        </b:NameList>
      </b:Author>
    </b:Author>
    <b:InternetSiteTitle>Universidad Técnica de Machala</b:InternetSiteTitle>
    <b:URL>http://repositorio.utmachala.edu.ec/handle/48000/17081</b:URL>
    <b:RefOrder>6</b:RefOrder>
  </b:Source>
  <b:Source>
    <b:Tag>Dol21</b:Tag>
    <b:SourceType>JournalArticle</b:SourceType>
    <b:Guid>{2BAE69C8-8A8E-43CB-9879-8E29AB753273}</b:Guid>
    <b:Title>Estrategias metodológicas una práctica docente para  el alcance de la lectoescritura</b:Title>
    <b:Year>2021</b:Year>
    <b:URL>https://dialnet.unirioja.es/descarga/articulo/7926908.pdf</b:URL>
    <b:Author>
      <b:Author>
        <b:NameList>
          <b:Person>
            <b:Last>Quiroz</b:Last>
            <b:First>Dolores</b:First>
          </b:Person>
          <b:Person>
            <b:Last>Delgado</b:Last>
            <b:First>Janeth </b:First>
          </b:Person>
        </b:NameList>
      </b:Author>
    </b:Author>
    <b:JournalName>Polo del Conocimiento</b:JournalName>
    <b:Pages>1745-1765</b:Pages>
    <b:Volume>6</b:Volume>
    <b:Issue>3</b:Issue>
    <b:RefOrder>7</b:RefOrder>
  </b:Source>
  <b:Source>
    <b:Tag>Mon20</b:Tag>
    <b:SourceType>DocumentFromInternetSite</b:SourceType>
    <b:Guid>{A8A3746F-9465-408D-8BD3-C6293A83006B}</b:Guid>
    <b:Author>
      <b:Author>
        <b:NameList>
          <b:Person>
            <b:Last>Montoya</b:Last>
            <b:First>Ana</b:First>
            <b:Middle>Cecilia</b:Middle>
          </b:Person>
        </b:NameList>
      </b:Author>
    </b:Author>
    <b:Title>Parafraseo para mejorar la Comprensión lectora en textos narrativos en los estudiantes de cuarto grado de primaria de la Institución Educativa Nª 81658 Huascar</b:Title>
    <b:Year>2020</b:Year>
    <b:URL>https://repositorio.ucv.edu.pe/handle/20.500.12692/48660</b:URL>
    <b:RefOrder>8</b:RefOrder>
  </b:Source>
  <b:Source>
    <b:Tag>Riv15</b:Tag>
    <b:SourceType>JournalArticle</b:SourceType>
    <b:Guid>{C287502A-A97F-49C5-A2B3-E0031E8561CA}</b:Guid>
    <b:Title>Metodología para el desarrollo de la compresión lectora en el proceso enseñanza-aprendizaje</b:Title>
    <b:Year>2015</b:Year>
    <b:Author>
      <b:Author>
        <b:NameList>
          <b:Person>
            <b:Last>Rivera</b:Last>
            <b:First>M</b:First>
          </b:Person>
        </b:NameList>
      </b:Author>
    </b:Author>
    <b:JournalName>Revista Cientifica - Dominio de las ciencias</b:JournalName>
    <b:Pages>47-61</b:Pages>
    <b:RefOrder>9</b:RefOrder>
  </b:Source>
  <b:Source>
    <b:Tag>Med18</b:Tag>
    <b:SourceType>JournalArticle</b:SourceType>
    <b:Guid>{561D0380-2A52-40CB-845C-F9A5AD73D691}</b:Guid>
    <b:Title>Uso de las tic como estrategia de mediación para el aprendizaje de la lectura en educación primaria.</b:Title>
    <b:Year>2018</b:Year>
    <b:Author>
      <b:Author>
        <b:NameList>
          <b:Person>
            <b:Last>Medellin</b:Last>
            <b:First>Marta</b:First>
          </b:Person>
          <b:Person>
            <b:Last>Gómez</b:Last>
            <b:First>José</b:First>
          </b:Person>
        </b:NameList>
      </b:Author>
    </b:Author>
    <b:JournalName>Gestión,competitividad e innovacion.</b:JournalName>
    <b:Pages>12- 21</b:Pages>
    <b:RefOrder>10</b:RefOrder>
  </b:Source>
  <b:Source>
    <b:Tag>Cas21</b:Tag>
    <b:SourceType>Report</b:SourceType>
    <b:Guid>{A39B8978-22EE-405D-8BF8-ADB5E231CDB5}</b:Guid>
    <b:Author>
      <b:Author>
        <b:NameList>
          <b:Person>
            <b:Last>Castellanos</b:Last>
            <b:First>Andrea</b:First>
          </b:Person>
        </b:NameList>
      </b:Author>
    </b:Author>
    <b:Title>Desarrollo de las habilidades de la escritura creativa por medio del ACD</b:Title>
    <b:Year>2021</b:Year>
    <b:Publisher>Repositorio Institucional UPN</b:Publisher>
    <b:City>Bogotá</b:City>
    <b:RefOrder>11</b:RefOrder>
  </b:Source>
  <b:Source>
    <b:Tag>Cue20</b:Tag>
    <b:SourceType>Report</b:SourceType>
    <b:Guid>{5082126E-7B2D-4FAB-A149-44CE252DE067}</b:Guid>
    <b:Author>
      <b:Author>
        <b:NameList>
          <b:Person>
            <b:Last>Cuervo</b:Last>
            <b:First>Silvia</b:First>
          </b:Person>
        </b:NameList>
      </b:Author>
    </b:Author>
    <b:Title>La escritura creativa dentro del aula</b:Title>
    <b:Year>2020</b:Year>
    <b:Publisher>Repositorio Institucional RIULL</b:Publisher>
    <b:City>San Cristobal, España</b:City>
    <b:RefOrder>12</b:RefOrder>
  </b:Source>
  <b:Source>
    <b:Tag>Mar21</b:Tag>
    <b:SourceType>JournalArticle</b:SourceType>
    <b:Guid>{212429E0-4CEA-4AB0-9183-CC6FCE1D6EEB}</b:Guid>
    <b:Title>Prácticas educativas, memorias e oralidades</b:Title>
    <b:Year>2021</b:Year>
    <b:Author>
      <b:Author>
        <b:NameList>
          <b:Person>
            <b:Last>Maraver</b:Last>
            <b:First>Rocío</b:First>
          </b:Person>
        </b:NameList>
      </b:Author>
    </b:Author>
    <b:JournalName>Rev. Pemo, Fortaleza, Vol. 3, Nº 1</b:JournalName>
    <b:Pages>14</b:Pages>
    <b:RefOrder>13</b:RefOrder>
  </b:Source>
  <b:Source>
    <b:Tag>San18</b:Tag>
    <b:SourceType>Report</b:SourceType>
    <b:Guid>{DE1605F3-F409-4C8C-936C-687F187F3607}</b:Guid>
    <b:Author>
      <b:Author>
        <b:NameList>
          <b:Person>
            <b:Last>Sanchez</b:Last>
            <b:First>karent</b:First>
          </b:Person>
          <b:Person>
            <b:Last>Suarnavar</b:Last>
            <b:First>Julissa</b:First>
          </b:Person>
          <b:Person>
            <b:Last>Saldaña</b:Last>
            <b:First>Jacved</b:First>
          </b:Person>
        </b:NameList>
      </b:Author>
    </b:Author>
    <b:Title>Escritura creativa como estrategia didáctica en la producción de textos en estudiantes de cuarto grado de educación primaria.</b:Title>
    <b:Year>2018</b:Year>
    <b:Publisher>Repositorio</b:Publisher>
    <b:City>Lima- Perú</b:City>
    <b:RefOrder>14</b:RefOrder>
  </b:Source>
  <b:Source>
    <b:Tag>Pei201</b:Tag>
    <b:SourceType>JournalArticle</b:SourceType>
    <b:Guid>{6A775557-BEA4-4178-A968-B205D986417A}</b:Guid>
    <b:Author>
      <b:Author>
        <b:NameList>
          <b:Person>
            <b:Last>Peiro</b:Last>
            <b:First>Rosario.</b:First>
          </b:Person>
        </b:NameList>
      </b:Author>
    </b:Author>
    <b:Title>Escritura creativa.</b:Title>
    <b:JournalName>Economipedia.com</b:JournalName>
    <b:Year>2020</b:Year>
    <b:RefOrder>15</b:RefOrder>
  </b:Source>
  <b:Source>
    <b:Tag>Veg20</b:Tag>
    <b:SourceType>JournalArticle</b:SourceType>
    <b:Guid>{3F047018-ABDB-4735-B45A-48852E994090}</b:Guid>
    <b:Title>La evaluación de la escritura creativa en el contexto universitario</b:Title>
    <b:Year>2020</b:Year>
    <b:Author>
      <b:Author>
        <b:NameList>
          <b:Person>
            <b:Last>Vega</b:Last>
            <b:First>Pilar</b:First>
          </b:Person>
        </b:NameList>
      </b:Author>
    </b:Author>
    <b:JournalName>ARBOR Ciencia, Pensamiento y Cultura</b:JournalName>
    <b:Pages>1-14</b:Pages>
    <b:RefOrder>16</b:RefOrder>
  </b:Source>
  <b:Source>
    <b:Tag>Her15</b:Tag>
    <b:SourceType>JournalArticle</b:SourceType>
    <b:Guid>{A1BF2F91-C8FF-4D71-A641-3F1CFAE14A43}</b:Guid>
    <b:Author>
      <b:Author>
        <b:NameList>
          <b:Person>
            <b:Last>Hernández</b:Last>
            <b:First>J</b:First>
          </b:Person>
          <b:Person>
            <b:Last>Sánchez</b:Last>
            <b:First>A</b:First>
          </b:Person>
        </b:NameList>
      </b:Author>
    </b:Author>
    <b:Title>Indicadores para evaluar escritura creativa en educación media superior</b:Title>
    <b:JournalName>Educación y ciencia </b:JournalName>
    <b:Year>2015</b:Year>
    <b:Pages>41-56</b:Pages>
    <b:RefOrder>17</b:RefOrder>
  </b:Source>
  <b:Source>
    <b:Tag>Hua16</b:Tag>
    <b:SourceType>DocumentFromInternetSite</b:SourceType>
    <b:Guid>{A9E8C697-8DCB-4EC7-B8EA-86A5ECEF8A9E}</b:Guid>
    <b:Title>La aplicación de  las técnicas del parafraseo y el resumen</b:Title>
    <b:Year>2016</b:Year>
    <b:Author>
      <b:Author>
        <b:NameList>
          <b:Person>
            <b:Last>Huanca</b:Last>
            <b:First>Gladys</b:First>
          </b:Person>
          <b:Person>
            <b:Last>Sacachipana</b:Last>
            <b:First>Ruth</b:First>
          </b:Person>
        </b:NameList>
      </b:Author>
    </b:Author>
    <b:InternetSiteTitle>Universidad Nacional del Antiplano</b:InternetSiteTitle>
    <b:URL>http://repositorio.unap.edu.pe/handle/UNAP/3688</b:URL>
    <b:RefOrder>18</b:RefOrder>
  </b:Source>
  <b:Source>
    <b:Tag>Gal07</b:Tag>
    <b:SourceType>JournalArticle</b:SourceType>
    <b:Guid>{237803F4-15AA-4B63-8647-80CD711F7955}</b:Guid>
    <b:Title>El proceso creativo y la formación del docente.</b:Title>
    <b:Year>2017</b:Year>
    <b:Author>
      <b:Author>
        <b:NameList>
          <b:Person>
            <b:Last>Galvis</b:Last>
            <b:First>Rosa</b:First>
          </b:Person>
        </b:NameList>
      </b:Author>
    </b:Author>
    <b:JournalName>Laurus, Revista de Educación.</b:JournalName>
    <b:Pages>82-98</b:Pages>
    <b:URL>https://www.redalyc.org/pdf/761/76102305.pdf</b:URL>
    <b:RefOrder>19</b:RefOrder>
  </b:Source>
  <b:Source>
    <b:Tag>Cha051</b:Tag>
    <b:SourceType>Book</b:SourceType>
    <b:Guid>{C47E5E2C-38D8-4921-B56B-7B937D17D410}</b:Guid>
    <b:Author>
      <b:Author>
        <b:NameList>
          <b:Person>
            <b:Last>Crespo</b:Last>
            <b:First>A.</b:First>
          </b:Person>
        </b:NameList>
      </b:Author>
    </b:Author>
    <b:Title>Creatividad y Educación: prácticas docentes para fomentar la creatividad en niños de nivel inicial.</b:Title>
    <b:JournalName>Actualidades Investigativas en Ecuador.</b:JournalName>
    <b:Year>2018</b:Year>
    <b:Pages>1-31</b:Pages>
    <b:City>Santa Fé, Argentina</b:City>
    <b:Publisher>Grupo Compás</b:Publisher>
    <b:RefOrder>20</b:RefOrder>
  </b:Source>
  <b:Source>
    <b:Tag>Leo18</b:Tag>
    <b:SourceType>JournalArticle</b:SourceType>
    <b:Guid>{6ED8B163-D452-4A01-9F7A-903A2CE6856B}</b:Guid>
    <b:Author>
      <b:Author>
        <b:NameList>
          <b:Person>
            <b:Last>Leonetti</b:Last>
            <b:First>Manuel</b:First>
          </b:Person>
        </b:NameList>
      </b:Author>
    </b:Author>
    <b:Title>Aprovechar la gramática para mejorar la redacción.</b:Title>
    <b:JournalName>Revista de Gramática orientadas a las Competencias.</b:JournalName>
    <b:Year>2018</b:Year>
    <b:Pages>1-28</b:Pages>
    <b:Volume>1</b:Volume>
    <b:Issue>1</b:Issue>
    <b:URL>https://ddd.uab.cat/pub/regroc/regroc_a2018v1n1/regroc_a2018v1n1p237.pdf</b:URL>
    <b:RefOrder>21</b:RefOrder>
  </b:Source>
  <b:Source>
    <b:Tag>Cem08</b:Tag>
    <b:SourceType>JournalArticle</b:SourceType>
    <b:Guid>{4A7D2A12-AE8A-4FB4-B956-AD149F3E32DE}</b:Guid>
    <b:Author>
      <b:Author>
        <b:NameList>
          <b:Person>
            <b:Last>Cemades</b:Last>
            <b:First>Inmaculada</b:First>
          </b:Person>
        </b:NameList>
      </b:Author>
    </b:Author>
    <b:Title>Desarrollo de la creatividad en Educación Infantil.</b:Title>
    <b:JournalName>Creatividad y Sociedad.</b:JournalName>
    <b:Year>2018</b:Year>
    <b:Pages>1-14</b:Pages>
    <b:URL>https://dialnet.unirioja.es/servlet/articulo?codigo=4566368</b:URL>
    <b:RefOrder>22</b:RefOrder>
  </b:Source>
  <b:Source>
    <b:Tag>INC20</b:Tag>
    <b:SourceType>DocumentFromInternetSite</b:SourceType>
    <b:Guid>{6897485B-1AB9-4A56-A54E-563A453C52F4}</b:Guid>
    <b:Title>https://www.ecuadorencifras.gob.ec/3-de-cada-10-ecuatorianos-no-destinan-tiempo-a-la-lectura/</b:Title>
    <b:Year>2012</b:Year>
    <b:Author>
      <b:Author>
        <b:NameList>
          <b:Person>
            <b:Last>INEC</b:Last>
          </b:Person>
        </b:NameList>
      </b:Author>
    </b:Author>
    <b:URL>https://www.ecuadorencifras.gob.ec/3-de-cada-10-ecuatorianos-no-destinan-tiempo-a-la-lectura/</b:URL>
    <b:RefOrder>1</b:RefOrder>
  </b:Source>
  <b:Source>
    <b:Tag>Min18</b:Tag>
    <b:SourceType>DocumentFromInternetSite</b:SourceType>
    <b:Guid>{0177338B-83CC-41E0-9C77-679861668582}</b:Guid>
    <b:Title>Informe General Pisa </b:Title>
    <b:Year>2018</b:Year>
    <b:Author>
      <b:Author>
        <b:Corporate>Ministerio de Educación del Ecuador</b:Corporate>
      </b:Author>
    </b:Author>
    <b:URL>http://evaluaciones.evaluacion.gob.ec/BI/informe-general-pisa-2018/</b:URL>
    <b:RefOrder>2</b:RefOrder>
  </b:Source>
  <b:Source>
    <b:Tag>Fre16</b:Tag>
    <b:SourceType>Report</b:SourceType>
    <b:Guid>{617D1ACD-197F-4301-B1B3-DD31F657BFBC}</b:Guid>
    <b:Author>
      <b:Author>
        <b:NameList>
          <b:Person>
            <b:Last>Freile</b:Last>
            <b:First>Sandra</b:First>
            <b:Middle>Elizabeth</b:Middle>
          </b:Person>
        </b:NameList>
      </b:Author>
    </b:Author>
    <b:Title>La Comprensión Lectora en el Aprendizaje significativo de la Educación Básica</b:Title>
    <b:Year>2016</b:Year>
    <b:Publisher>Universidad Laica Eloy Alfaro de Manabí ext. Chone</b:Publisher>
    <b:City>Chone</b:City>
    <b:RefOrder>3</b:RefOrder>
  </b:Source>
  <b:Source>
    <b:Tag>Car17</b:Tag>
    <b:SourceType>JournalArticle</b:SourceType>
    <b:Guid>{3D9E89DD-ED18-4CE0-B4CE-322FE3503489}</b:Guid>
    <b:Author>
      <b:Author>
        <b:NameList>
          <b:Person>
            <b:Last>Toro Henao</b:Last>
            <b:First>C.</b:First>
            <b:Middle>M., Monroy Fonseca, M. N.</b:Middle>
          </b:Person>
        </b:NameList>
      </b:Author>
    </b:Author>
    <b:Title>Las TIC. estrategias para mejorar la competencia lectora interpretativa en el area de lenguaje</b:Title>
    <b:JournalName>Universidad Católica Luis Amigó, 1</b:JournalName>
    <b:Year>2017</b:Year>
    <b:Pages>139</b:Pages>
    <b:URL>https://doi.org/10.21501/25907565.2653</b:URL>
    <b:RefOrder>4</b:RefOrder>
  </b:Source>
  <b:Source>
    <b:Tag>VER18</b:Tag>
    <b:SourceType>Report</b:SourceType>
    <b:Guid>{59BC3202-F0E2-4749-A11F-941C6FCDE159}</b:Guid>
    <b:Author>
      <b:Author>
        <b:NameList>
          <b:Person>
            <b:Last>VERA</b:Last>
            <b:First>JOSÉ</b:First>
            <b:Middle>LUIS</b:Middle>
          </b:Person>
        </b:NameList>
      </b:Author>
    </b:Author>
    <b:Title>LA COMPRENSIÓN LECTORA EN EL RENDIMIENTO ACADÉMICO, DISEÑO DE UN SOFTWARE EDUCATIVO</b:Title>
    <b:Year>2018</b:Year>
    <b:Publisher>UNIVERSIDAD DE GUAYAQUIL FACULTAD DE FILOSOFÍA, LETRAS Y CIENCIAS EN LA EDUCACIÓN</b:Publisher>
    <b:City>Guayaquil</b:City>
    <b:Pages>59</b:Pages>
    <b:URL>http://repositorio.ug.edu.ec/bitstream/redug/36402/1/BFILO-PSM-18P295.pdf</b:URL>
    <b:RefOrder>5</b:RefOrder>
  </b:Source>
  <b:Source>
    <b:Tag>Gar18</b:Tag>
    <b:SourceType>JournalArticle</b:SourceType>
    <b:Guid>{65762736-A0E8-4D7E-8A1B-9CBB17555848}</b:Guid>
    <b:Author>
      <b:Author>
        <b:NameList>
          <b:Person>
            <b:Last>García</b:Last>
            <b:First>M</b:First>
          </b:Person>
          <b:Person>
            <b:Last>Arévalo</b:Last>
            <b:First>M</b:First>
          </b:Person>
          <b:Person>
            <b:Last>Hernández</b:Last>
            <b:First>C.</b:First>
          </b:Person>
        </b:NameList>
      </b:Author>
    </b:Author>
    <b:Title>La comprensión lectora y el rendimiento escolar</b:Title>
    <b:JournalName>Cuadernos de Lingüística Hispánica</b:JournalName>
    <b:Year>2018</b:Year>
    <b:Pages>155-174</b:Pages>
    <b:Issue>32</b:Issue>
    <b:URL>http://www.scielo.org.co/pdf/clin/n32/2346-1829-clin-32-155.pdf</b:URL>
    <b:RefOrder>6</b:RefOrder>
  </b:Source>
  <b:Source>
    <b:Tag>MarcadorDePosición2</b:Tag>
    <b:SourceType>Report</b:SourceType>
    <b:Guid>{6185DCEA-EC7F-40D1-B883-B5A5C433191F}</b:Guid>
    <b:Title>Comprensión lectora y el aprendizaje en el área de Comunicación Integral en los estudiantes.....</b:Title>
    <b:Year>2018</b:Year>
    <b:Author>
      <b:Author>
        <b:NameList>
          <b:Person>
            <b:Last>Cuñachi </b:Last>
            <b:First>Ghina</b:First>
          </b:Person>
          <b:Person>
            <b:Last>Leyva </b:Last>
            <b:First>Gisell</b:First>
          </b:Person>
        </b:NameList>
      </b:Author>
    </b:Author>
    <b:Publisher>UNIVERSIDAD NACIONAL DE EDUCACIÓN ENRIQUE GUZMÁN Y VALLE</b:Publisher>
    <b:City>La Cantuta, Perú</b:City>
    <b:RefOrder>7</b:RefOrder>
  </b:Source>
  <b:Source>
    <b:Tag>Roj16</b:Tag>
    <b:SourceType>JournalArticle</b:SourceType>
    <b:Guid>{A8AFB6F8-650B-4959-A7EB-BACF6CE70C50}</b:Guid>
    <b:Title>La comprensión lectora en estudiantes de educación primaria en Perú</b:Title>
    <b:Year>2016</b:Year>
    <b:Author>
      <b:Author>
        <b:NameList>
          <b:Person>
            <b:Last>Rojas</b:Last>
            <b:First>Margarita</b:First>
            <b:Middle>Rojas Cáceres, Alejandro Cruzata Martínez</b:Middle>
          </b:Person>
        </b:NameList>
      </b:Author>
    </b:Author>
    <b:JournalName>Revista de Educación</b:JournalName>
    <b:Pages>339, 353</b:Pages>
    <b:URL>http://fh.mdp.edu.ar/revistas/index.php/r_educ/article/view/1916</b:URL>
    <b:RefOrder>8</b:RefOrder>
  </b:Source>
  <b:Source>
    <b:Tag>Ala19</b:Tag>
    <b:SourceType>JournalArticle</b:SourceType>
    <b:Guid>{07C99AC1-D06E-4103-9FE1-3D1C3B2A3D59}</b:Guid>
    <b:Title>Empleo de las estrategias de aprendizaje en la universidad. Un estudio de Caso.</b:Title>
    <b:PublicationTitle>Propósitos y Representaciones</b:PublicationTitle>
    <b:Year>2019</b:Year>
    <b:Author>
      <b:Author>
        <b:NameList>
          <b:Person>
            <b:Last>Alarcón</b:Last>
            <b:First>A.,</b:First>
            <b:Middle>Alcas, N., Alarcón, H., Natividad, J., Rodríguez, A.</b:Middle>
          </b:Person>
        </b:NameList>
      </b:Author>
    </b:Author>
    <b:Pages>10-32</b:Pages>
    <b:Volume>7</b:Volume>
    <b:Issue>1</b:Issue>
    <b:URL>http://www.scielo.org.pe/pdf/pyr/v7n1/a02v7n1.pdf</b:URL>
    <b:DOI>http://dx.doi.org/10.20511/pyr2019.v7n1.265</b:DOI>
    <b:RefOrder>9</b:RefOrder>
  </b:Source>
  <b:Source>
    <b:Tag>Mej191</b:Tag>
    <b:SourceType>JournalArticle</b:SourceType>
    <b:Guid>{36B019D3-12E4-407F-98D7-F653501D5532}</b:Guid>
    <b:Title>Qué son las Competencias Interpretativas?</b:Title>
    <b:Year>2019</b:Year>
    <b:URL>https://www.lifeder.com/competencias-interpretativas/.</b:URL>
    <b:Author>
      <b:Author>
        <b:NameList>
          <b:Person>
            <b:Last>Mejia</b:Last>
            <b:First>Tatiana</b:First>
          </b:Person>
        </b:NameList>
      </b:Author>
    </b:Author>
    <b:JournalName>Lifeder.com</b:JournalName>
    <b:Pages>3</b:Pages>
    <b:RefOrder>10</b:RefOrder>
  </b:Source>
  <b:Source>
    <b:Tag>Már19</b:Tag>
    <b:SourceType>Report</b:SourceType>
    <b:Guid>{0FF3AA3C-6A0A-404D-9883-C18CC7C0F4D3}</b:Guid>
    <b:Author>
      <b:Author>
        <b:NameList>
          <b:Person>
            <b:Last>Márquez</b:Last>
            <b:First>Julia</b:First>
            <b:Middle>Martha</b:Middle>
          </b:Person>
        </b:NameList>
      </b:Author>
    </b:Author>
    <b:Title>Comprensión Lectora para mejorar el rendimiento escolar en los estudaintes del subnivel  básica superior.</b:Title>
    <b:Year>2019</b:Year>
    <b:City>Guayaquil</b:City>
    <b:Pages>34</b:Pages>
    <b:RefOrder>11</b:RefOrder>
  </b:Source>
  <b:Source>
    <b:Tag>Gal19</b:Tag>
    <b:SourceType>Book</b:SourceType>
    <b:Guid>{123EC6B4-656E-4A19-B681-01728185787D}</b:Guid>
    <b:Author>
      <b:Author>
        <b:NameList>
          <b:Person>
            <b:Last>Galve</b:Last>
            <b:First>José</b:First>
            <b:Middle>Luis</b:Middle>
          </b:Person>
          <b:Person>
            <b:Last>Ramos</b:Last>
            <b:First>José</b:First>
            <b:Middle>Luis</b:Middle>
          </b:Person>
        </b:NameList>
      </b:Author>
    </b:Author>
    <b:Title>Dificultades específicas de lecto-escritura</b:Title>
    <b:Year>2019</b:Year>
    <b:Publisher>Ciencias de la Educación Preescolar y Especial</b:Publisher>
    <b:RefOrder>12</b:RefOrder>
  </b:Source>
  <b:Source>
    <b:Tag>Rui20</b:Tag>
    <b:SourceType>Book</b:SourceType>
    <b:Guid>{A67246B7-0C56-4604-B7EB-C3E1BA8FB4E6}</b:Guid>
    <b:Author>
      <b:Author>
        <b:NameList>
          <b:Person>
            <b:Last>Ruiz Fernández</b:Last>
            <b:First>José</b:First>
          </b:Person>
        </b:NameList>
      </b:Author>
    </b:Author>
    <b:Title>Comprensión, significado y lenguaje. </b:Title>
    <b:Year>2020</b:Year>
    <b:Publisher>Versión Kindle </b:Publisher>
    <b:RefOrder>13</b:RefOrder>
  </b:Source>
  <b:Source>
    <b:Tag>Cal19</b:Tag>
    <b:SourceType>Book</b:SourceType>
    <b:Guid>{A9CA8697-6E9E-4622-90F1-EAA54B89D4F9}</b:Guid>
    <b:Author>
      <b:Author>
        <b:NameList>
          <b:Person>
            <b:Last>Calero</b:Last>
            <b:First>Andrés</b:First>
          </b:Person>
        </b:NameList>
      </b:Author>
    </b:Author>
    <b:Title>Comprensión lectora. Estrategías que desarrollan lectores autorregulados</b:Title>
    <b:Year>2019</b:Year>
    <b:Publisher>Calero</b:Publisher>
    <b:RefOrder>14</b:RefOrder>
  </b:Source>
  <b:Source>
    <b:Tag>DEC48</b:Tag>
    <b:SourceType>InternetSite</b:SourceType>
    <b:Guid>{488D9A3A-3F1A-4241-BD7E-266E271D15FC}</b:Guid>
    <b:Author>
      <b:Author>
        <b:Corporate>DECLARACIÓN UNIVERSAL DE DERECHOS HUMANOS</b:Corporate>
      </b:Author>
    </b:Author>
    <b:Year>1948</b:Year>
    <b:Month>diciembre</b:Month>
    <b:Day>10</b:Day>
    <b:URL>https://www.consejodiscapacidades.gob.ec/wp-content/uploads/downloads/2014/02/declaracion_universal_derechos.pdf</b:URL>
    <b:RefOrder>1</b:RefOrder>
  </b:Source>
  <b:Source>
    <b:Tag>Loo</b:Tag>
    <b:SourceType>InternetSite</b:SourceType>
    <b:Guid>{8048D628-805E-46F6-94F1-CB966A992376}</b:Guid>
    <b:Author>
      <b:Author>
        <b:NameList>
          <b:Person>
            <b:Last>Loor</b:Last>
            <b:First>Yandry</b:First>
          </b:Person>
          <b:Person>
            <b:Last>Benitez</b:Last>
            <b:First>Noriel</b:First>
          </b:Person>
        </b:NameList>
      </b:Author>
    </b:Author>
    <b:URL>https://www.derechoecuador.com/accion-de-proteccion-en-la-constitucion</b:URL>
    <b:Title>ACCIÓN DE PROTECCIÓN EN LA CONSTITUCIÓN</b:Title>
    <b:Year>2009</b:Year>
    <b:Month>agosto</b:Month>
    <b:Day>09</b:Day>
    <b:RefOrder>2</b:RefOrder>
  </b:Source>
  <b:Source>
    <b:Tag>Cev091</b:Tag>
    <b:SourceType>Book</b:SourceType>
    <b:Guid>{28A388CE-9062-0947-8A6C-4239E696E58D}</b:Guid>
    <b:Author>
      <b:Author>
        <b:NameList>
          <b:Person>
            <b:Last>Cevallos</b:Last>
            <b:First>I</b:First>
          </b:Person>
        </b:NameList>
      </b:Author>
    </b:Author>
    <b:Title>LA ACCION DE PROTECCIÓN ORDINARIA FORMALIDAD Y ADMISIBILIDAD EN EL ECUA. UNIVERSIDAD ANDINA SIMÓN BOLÍVAR SEDE ECUADOR</b:Title>
    <b:Year>2009</b:Year>
    <b:RefOrder>3</b:RefOrder>
  </b:Source>
  <b:Source>
    <b:Tag>Tru</b:Tag>
    <b:SourceType>InternetSite</b:SourceType>
    <b:Guid>{75CF9C40-86C3-F14F-AFA5-D682D93C8142}</b:Guid>
    <b:Author>
      <b:Author>
        <b:NameList>
          <b:Person>
            <b:Last>Trujillo</b:Last>
            <b:First>R</b:First>
          </b:Person>
        </b:NameList>
      </b:Author>
    </b:Author>
    <b:Title>LA ACCIÓN DE PROTECCIÓN COMO GARANTÍA CONSTITUCIONAL DE LOS DERECHOS HUMANOS. LA ACCIÓN DE PROTECCIÓN COMO GARANTÍA CONSTITUCIONAL DE LOS DERECHOS HUMANOS</b:Title>
    <b:URL>https://www.inredh.org/archivos/boletines/b_accion_proteccion.pdf</b:URL>
    <b:Year>2010</b:Year>
    <b:Month>agosto</b:Month>
    <b:Day>09</b:Day>
    <b:RefOrder>4</b:RefOrder>
  </b:Source>
  <b:Source>
    <b:Tag>Cor16</b:Tag>
    <b:SourceType>InternetSite</b:SourceType>
    <b:Guid>{FB39AB1B-0045-3E49-A111-21D6B1CB76C5}</b:Guid>
    <b:Title>ANÁLISIS DE LA ACCIÓN DE PROTECCIÓN</b:Title>
    <b:Year>2016</b:Year>
    <b:Author>
      <b:Author>
        <b:NameList>
          <b:Person>
            <b:Last>Cornejo Aguilar</b:Last>
            <b:First>J.</b:First>
            <b:Middle>S</b:Middle>
          </b:Person>
        </b:NameList>
      </b:Author>
    </b:Author>
    <b:InternetSiteTitle>Derecho Ecuador</b:InternetSiteTitle>
    <b:URL>https://www.derechoecuador.com/analisis-de-la-accion-de-proteccion</b:URL>
    <b:Month>junio</b:Month>
    <b:Day>13</b:Day>
    <b:RefOrder>5</b:RefOrder>
  </b:Source>
  <b:Source>
    <b:Tag>Agu18</b:Tag>
    <b:SourceType>JournalArticle</b:SourceType>
    <b:Guid>{1101B410-94E0-4B4E-8EC1-FC0C9C30A65A}</b:Guid>
    <b:Author>
      <b:Author>
        <b:NameList>
          <b:Person>
            <b:Last>Aguirre</b:Last>
            <b:First>Pamela</b:First>
          </b:Person>
          <b:Person>
            <b:Last>Alarcón</b:Last>
            <b:First>Pablo</b:First>
          </b:Person>
        </b:NameList>
      </b:Author>
    </b:Author>
    <b:Title>El estándar de la reparación integral en la jurisprudencia de la Corte Constitucional</b:Title>
    <b:URL>https://revistas.uasb.edu.ec/index.php/foro/article/view/695/644</b:URL>
    <b:Year>2018</b:Year>
    <b:JournalName>FORO Revista de Derecho</b:JournalName>
    <b:RefOrder>6</b:RefOrder>
  </b:Source>
  <b:Source>
    <b:Tag>Asa088</b:Tag>
    <b:SourceType>Book</b:SourceType>
    <b:Guid>{1A4F0621-6C7A-0242-848B-6C8E442E8DA7}</b:Guid>
    <b:Title>Constitución del Ecuador</b:Title>
    <b:Year>2008</b:Year>
    <b:Author>
      <b:Author>
        <b:Corporate>Asamblea Nacional Constituyente</b:Corporate>
      </b:Author>
    </b:Author>
    <b:RefOrder>7</b:RefOrder>
  </b:Source>
  <b:Source>
    <b:Tag>COR10</b:Tag>
    <b:SourceType>InternetSite</b:SourceType>
    <b:Guid>{37981067-86AE-4B4B-B7B0-3DFC84D13265}</b:Guid>
    <b:Author>
      <b:Author>
        <b:Corporate>CORTE INTERAMERICANA DE DERECHOS HUMANOS </b:Corporate>
      </b:Author>
    </b:Author>
    <b:Title>SENTENCIA DE 10 DE SEPTIEMBRE DE 1993 </b:Title>
    <b:Year>10</b:Year>
    <b:Month>septiembre</b:Month>
    <b:Day>1993</b:Day>
    <b:URL>https://www.corteidh.or.cr/docs/casos/fundamentos/jseriec15.pdf</b:URL>
    <b:RefOrder>8</b:RefOrder>
  </b:Source>
  <b:Source>
    <b:Tag>Rou11</b:Tag>
    <b:SourceType>InternetSite</b:SourceType>
    <b:Guid>{E648DCAC-15E8-1B47-94BD-73241E96B53C}</b:Guid>
    <b:Author>
      <b:Author>
        <b:NameList>
          <b:Person>
            <b:Last>Rousset</b:Last>
            <b:First>Andrés</b:First>
            <b:Middle>Javier</b:Middle>
          </b:Person>
        </b:NameList>
      </b:Author>
    </b:Author>
    <b:Title>El  concepto  de  reparación  integralen  la  jurisprudencia  de  laCorte  Interamericana  de  Derechos  Humanos</b:Title>
    <b:URL>https://revistaidh.org/ojs/index.php/ridh/article/view/6/4</b:URL>
    <b:Year>2011</b:Year>
    <b:Month>Septiembre</b:Month>
    <b:Day>15</b:Day>
    <b:RefOrder>9</b:RefOrder>
  </b:Source>
  <b:Source>
    <b:Tag>Cat12</b:Tag>
    <b:SourceType>InternetSite</b:SourceType>
    <b:Guid>{1A677D36-73CF-4EA5-821F-64D10D94EB9E}</b:Guid>
    <b:Title>ALGUNAS NOTAS SOBRE LA RESTITUIO IN INTEGRUM EN LA ÉPOCA DE JUSTICIANO</b:Title>
    <b:Year>2012</b:Year>
    <b:Author>
      <b:Author>
        <b:NameList>
          <b:Person>
            <b:Last>Cattan</b:Last>
            <b:First>Angela</b:First>
          </b:Person>
          <b:Person>
            <b:Last>Pulgar</b:Last>
            <b:First>Ximena</b:First>
          </b:Person>
        </b:NameList>
      </b:Author>
    </b:Author>
    <b:Month>Noviembre</b:Month>
    <b:Day>01</b:Day>
    <b:URL>https://repositorio.uchile.cl/bitstream/handle/2250/126804/Algunas-notas-sobre-la-Restitutio-in-Integrum-en-la-epoca-de-Justiniano.pdf?sequence=1&amp;isAllowed=y</b:URL>
    <b:RefOrder>10</b:RefOrder>
  </b:Source>
  <b:Source>
    <b:Tag>Arr19</b:Tag>
    <b:SourceType>InternetSite</b:SourceType>
    <b:Guid>{EE669AC9-4A7B-47C9-A3D2-8117927584C9}</b:Guid>
    <b:Author>
      <b:Author>
        <b:NameList>
          <b:Person>
            <b:Last>Arriaga Martinez</b:Last>
            <b:First>Jorge</b:First>
            <b:Middle>Sergio</b:Middle>
          </b:Person>
        </b:NameList>
      </b:Author>
    </b:Author>
    <b:Title>CLASIFICACIÓN DEL DAÑO, LA REPARACIÓN INTEGRAL Y SU ALCANCE EN</b:Title>
    <b:Year>2019</b:Year>
    <b:Month>enero</b:Month>
    <b:Day>01</b:Day>
    <b:URL>http://archivos.diputados.gob.mx/Transparencia/articulo70/XLI/cedip/B/CEDIP-70-XLI-B-clasidano-6-2018.pdf</b:URL>
    <b:RefOrder>11</b:RefOrder>
  </b:Source>
  <b:Source>
    <b:Tag>Loa15</b:Tag>
    <b:SourceType>InternetSite</b:SourceType>
    <b:Guid>{2F024D7B-A3CA-4D36-9A1E-D131BB9E6FDC}</b:Guid>
    <b:Author>
      <b:Author>
        <b:NameList>
          <b:Person>
            <b:Last>Loaiza Montero</b:Last>
            <b:First>Andrea</b:First>
            <b:Middle>Carolina</b:Middle>
          </b:Person>
        </b:NameList>
      </b:Author>
    </b:Author>
    <b:Title>“EL DERECHO DE DAÑOS: NORMATIVA ACTUALMENTE APLICABLE Y</b:Title>
    <b:InternetSiteTitle>Monografía previa a la obtención del Título de Abogada de los Tribunales de</b:InternetSiteTitle>
    <b:Year>2015</b:Year>
    <b:Month>abril</b:Month>
    <b:URL>https://dspace.ucuenca.edu.ec/bitstream/123456789/21597/1/Monograf%C3%ADa.pdf</b:URL>
    <b:RefOrder>12</b:RefOrder>
  </b:Source>
  <b:Source>
    <b:Tag>Consf</b:Tag>
    <b:SourceType>InternetSite</b:SourceType>
    <b:Guid>{8EC222D6-6A2A-488C-875C-2201ED1FCE1D}</b:Guid>
    <b:Author>
      <b:Author>
        <b:Corporate>Conceptosjurídicos.com</b:Corporate>
      </b:Author>
    </b:Author>
    <b:Title>Lucro cesante</b:Title>
    <b:Year>s. f</b:Year>
    <b:URL>https://www.conceptosjuridicos.com/co/lucro-cesante/</b:URL>
    <b:RefOrder>13</b:RefOrder>
  </b:Source>
  <b:Source>
    <b:Tag>GOV19</b:Tag>
    <b:SourceType>InternetSite</b:SourceType>
    <b:Guid>{9C44D9C7-C0F9-4714-B32F-E608D29A354A}</b:Guid>
    <b:Title>El futuro es de todos</b:Title>
    <b:Year>2019</b:Year>
    <b:Author>
      <b:Author>
        <b:Corporate>Unidad para la Atención y la Reparación Integral a las Víctimas</b:Corporate>
      </b:Author>
    </b:Author>
    <b:URL>https://www.unidadvictimas.gov.co/es/en-que-consisten-las-medidas-de-reparacion/44460</b:URL>
    <b:RefOrder>14</b:RefOrder>
  </b:Source>
  <b:Source>
    <b:Tag>Roj12</b:Tag>
    <b:SourceType>InternetSite</b:SourceType>
    <b:Guid>{5031F812-0433-BA47-8E77-6523396DB211}</b:Guid>
    <b:Author>
      <b:Author>
        <b:NameList>
          <b:Person>
            <b:Last>Rojas</b:Last>
            <b:First>Valeria</b:First>
          </b:Person>
        </b:NameList>
      </b:Author>
    </b:Author>
    <b:Title>La reparación integral Un estudio desde su aplicación en acciones de protección en el Ecuador </b:Title>
    <b:URL>https://repositorio.uasb.edu.ec/bitstream/10644/3261/1/T1211-MDE-Rojas-La%20reparacion.pdf</b:URL>
    <b:Year>2012</b:Year>
    <b:RefOrder>15</b:RefOrder>
  </b:Source>
  <b:Source>
    <b:Tag>Asa081</b:Tag>
    <b:SourceType>Book</b:SourceType>
    <b:Guid>{53482231-5FA2-4719-BE5D-4C51697A61CF}</b:Guid>
    <b:Author>
      <b:Author>
        <b:Corporate>Asamblea Constituyente</b:Corporate>
      </b:Author>
    </b:Author>
    <b:Title>Constitucion de la Republica del Ecuador </b:Title>
    <b:Year>2008</b:Year>
    <b:City>Quito</b:City>
    <b:Publisher>Corporacion de Estudios y Publicaciones</b:Publisher>
    <b:RefOrder>1</b:RefOrder>
  </b:Source>
  <b:Source>
    <b:Tag>Rob</b:Tag>
    <b:SourceType>Book</b:SourceType>
    <b:Guid>{926D7088-568E-4797-AC6E-1BE52D89DB8D}</b:Guid>
    <b:Author>
      <b:Author>
        <b:NameList>
          <b:Person>
            <b:Last>Gargaela</b:Last>
            <b:First>Roberto</b:First>
          </b:Person>
        </b:NameList>
      </b:Author>
    </b:Author>
    <b:Title>La Justicia frente al Gobierno</b:Title>
    <b:Year>2014</b:Year>
    <b:RefOrder>2</b:RefOrder>
  </b:Source>
  <b:Source>
    <b:Tag>Jua20</b:Tag>
    <b:SourceType>Book</b:SourceType>
    <b:Guid>{1A600D56-C5A0-4A94-AD1D-C85CAB9C1B6F}</b:Guid>
    <b:Author>
      <b:Author>
        <b:NameList>
          <b:Person>
            <b:Last>Guerrero del Pozo</b:Last>
            <b:First>Juan</b:First>
            <b:Middle>Francisco</b:Middle>
          </b:Person>
        </b:NameList>
      </b:Author>
    </b:Author>
    <b:Title>LAS GARANTIAS JIRISDICIONALES CONSTITUCIONALES EN RL ECUADOR</b:Title>
    <b:Year>2020</b:Year>
    <b:City>Quito-Ecuador </b:City>
    <b:Publisher>Corporacion de Estudios y Publicaciones</b:Publisher>
    <b:RefOrder>3</b:RefOrder>
  </b:Source>
  <b:Source>
    <b:Tag>Ger</b:Tag>
    <b:SourceType>Book</b:SourceType>
    <b:Guid>{927801AB-2D3F-4A42-A08B-74E5980998B1}</b:Guid>
    <b:Title>Un largo Termidor</b:Title>
    <b:Author>
      <b:Author>
        <b:NameList>
          <b:Person>
            <b:Last>Pissarello</b:Last>
            <b:First>Gerardo</b:First>
          </b:Person>
        </b:NameList>
      </b:Author>
    </b:Author>
    <b:City>quito</b:City>
    <b:RefOrder>4</b:RefOrder>
  </b:Source>
  <b:Source>
    <b:Tag>Asa10</b:Tag>
    <b:SourceType>Book</b:SourceType>
    <b:Guid>{22D73D58-2856-4815-8FC6-FA334D7F7618}</b:Guid>
    <b:Title>Ley Organica de Garantias Jurisdiccionales y Control Constitucional</b:Title>
    <b:Year>2010</b:Year>
    <b:City>Quito</b:City>
    <b:Publisher>Corporacion de Estudios y Publicaciones</b:Publisher>
    <b:Author>
      <b:Author>
        <b:Corporate>Asamblea Nacional</b:Corporate>
      </b:Author>
    </b:Author>
    <b:RefOrder>5</b:RefOrder>
  </b:Source>
  <b:Source>
    <b:Tag>Cor13</b:Tag>
    <b:SourceType>Book</b:SourceType>
    <b:Guid>{E65D76C1-03B8-428E-9617-C5D07A17F2F4}</b:Guid>
    <b:Author>
      <b:Author>
        <b:Corporate>Corte Constitucional del Ecuador</b:Corporate>
      </b:Author>
    </b:Author>
    <b:Title>Umbral; Revista de Derecho Constitucional, Garaníias Jurisdiccionales y Derechos Constitucionales</b:Title>
    <b:Year>2013</b:Year>
    <b:City>Quito</b:City>
    <b:Publisher>Centro de Estudios y Difusión del Derecho Constitucional</b:Publisher>
    <b:RefOrder>6</b:RefOrder>
  </b:Source>
  <b:Source>
    <b:Tag>Mar11</b:Tag>
    <b:SourceType>Book</b:SourceType>
    <b:Guid>{01FC39F0-D1F5-4DEB-B1D4-57E235CB3685}</b:Guid>
    <b:Author>
      <b:Author>
        <b:NameList>
          <b:Person>
            <b:Last>Dunia</b:Last>
            <b:First>Martinez</b:First>
            <b:Middle>Molina</b:Middle>
          </b:Person>
        </b:NameList>
      </b:Author>
    </b:Author>
    <b:Title>Genealogía de la Justicia Constitucional Ecuatoriana</b:Title>
    <b:Year>2011</b:Year>
    <b:City>Quito-Ecuador </b:City>
    <b:Publisher>Centro de Estudios y Difusión del Derecho Constitucional </b:Publisher>
    <b:RefOrder>7</b:RefOrder>
  </b:Source>
  <b:Source>
    <b:Tag>Val98</b:Tag>
    <b:SourceType>Book</b:SourceType>
    <b:Guid>{73060A1E-DDF9-49D6-95A9-76F65D53C03C}</b:Guid>
    <b:Author>
      <b:Author>
        <b:NameList>
          <b:Person>
            <b:Last>Valencia Vega</b:Last>
            <b:First>Alipio</b:First>
          </b:Person>
        </b:NameList>
      </b:Author>
    </b:Author>
    <b:Title>Desarrollo del Constitucionalismo </b:Title>
    <b:Year>1998</b:Year>
    <b:City>La Paz-Bolivia</b:City>
    <b:Publisher>Juventud</b:Publisher>
    <b:RefOrder>8</b:RefOrder>
  </b:Source>
  <b:Source>
    <b:Tag>Cev09</b:Tag>
    <b:SourceType>Book</b:SourceType>
    <b:Guid>{DCA242C5-8C8E-4221-B3AD-CA145057A1A2}</b:Guid>
    <b:Author>
      <b:Author>
        <b:NameList>
          <b:Person>
            <b:Last>Cevallos Zambrano</b:Last>
            <b:First>Iván</b:First>
            <b:Middle>Agustin</b:Middle>
          </b:Person>
        </b:NameList>
      </b:Author>
    </b:Author>
    <b:Title>La Accion de Protección Ordinaria Formalidad y Adminsibilidad en el Ecuador </b:Title>
    <b:Year>2009</b:Year>
    <b:City>Quito-Ecuador</b:City>
    <b:Publisher>Repositorio de la UASB</b:Publisher>
    <b:RefOrder>9</b:RefOrder>
  </b:Source>
  <b:Source>
    <b:Tag>Lan19</b:Tag>
    <b:SourceType>Book</b:SourceType>
    <b:Guid>{3CC42004-0847-4BDE-932C-2C38D9CA7FFF}</b:Guid>
    <b:Author>
      <b:Author>
        <b:NameList>
          <b:Person>
            <b:Last>Landazuri Salazar</b:Last>
            <b:First>Luis</b:First>
            <b:Middle>Fernado</b:Middle>
          </b:Person>
        </b:NameList>
      </b:Author>
    </b:Author>
    <b:Title>Procedibilidad de la accion de proteccion frente al acto administrativo en el Ecuador </b:Title>
    <b:Year>2019</b:Year>
    <b:Publisher>Repositorio Institucional de la UASAB, Creative, commons.</b:Publisher>
    <b:RefOrder>10</b:RefOrder>
  </b:Source>
  <b:Source>
    <b:Tag>Tra75</b:Tag>
    <b:SourceType>Book</b:SourceType>
    <b:Guid>{682FFBA4-2175-4065-AE9C-D96D1B971EB2}</b:Guid>
    <b:Author>
      <b:Author>
        <b:NameList>
          <b:Person>
            <b:Last>Trabucco</b:Last>
            <b:First>Federico</b:First>
          </b:Person>
        </b:NameList>
      </b:Author>
    </b:Author>
    <b:Title>Constituciones de la Republica del Ecuador </b:Title>
    <b:Year>1975</b:Year>
    <b:City>Quito, Ecuador</b:City>
    <b:Publisher>Editorial Universitaria</b:Publisher>
    <b:RefOrder>11</b:RefOrder>
  </b:Source>
  <b:Source>
    <b:Tag>LaA14</b:Tag>
    <b:SourceType>Book</b:SourceType>
    <b:Guid>{FD2C1904-4F15-435D-8A6A-B4960F08D285}</b:Guid>
    <b:Author>
      <b:Author>
        <b:NameList>
          <b:Person>
            <b:Last>Storini</b:Last>
            <b:First>Claudia</b:First>
          </b:Person>
          <b:Person>
            <b:Last>Alvear Navas</b:Last>
            <b:First>Marco</b:First>
          </b:Person>
        </b:NameList>
      </b:Author>
    </b:Author>
    <b:Title>La Accion de Proteccion en el Ecuador</b:Title>
    <b:Year>2014</b:Year>
    <b:City>Quito</b:City>
    <b:Publisher>Centro de Estudios y Difusion de Derecho Cosntitucional</b:Publisher>
    <b:RefOrder>12</b:RefOrder>
  </b:Source>
  <b:Source>
    <b:Tag>Pre16</b:Tag>
    <b:SourceType>Case</b:SourceType>
    <b:Guid>{75B1784F-D73B-4146-8755-B1B4E3AF8700}</b:Guid>
    <b:Title>Precedente Jurisprudencial Obligatorio</b:Title>
    <b:CaseNumber>001-16-JPO-CC</b:CaseNumber>
    <b:Court>Corte Constitucional del Ecuador </b:Court>
    <b:Year>2016</b:Year>
    <b:Month>Marzo</b:Month>
    <b:Day>22</b:Day>
    <b:RefOrder>13</b:RefOrder>
  </b:Source>
  <b:Source>
    <b:Tag>Oya161</b:Tag>
    <b:SourceType>Book</b:SourceType>
    <b:Guid>{8C4A5B37-C6F6-40E6-AA1A-F14CDEC0442D}</b:Guid>
    <b:Author>
      <b:Author>
        <b:NameList>
          <b:Person>
            <b:Last>Oyarte</b:Last>
            <b:First>Rafael</b:First>
          </b:Person>
        </b:NameList>
      </b:Author>
    </b:Author>
    <b:Title>Debido Proceso</b:Title>
    <b:Year>2016</b:Year>
    <b:City>Quito-Ecuador</b:City>
    <b:Publisher>Corporacion de Estudios y Publicaciones</b:Publisher>
    <b:RefOrder>14</b:RefOrder>
  </b:Source>
  <b:Source>
    <b:Tag>Sen15</b:Tag>
    <b:SourceType>Case</b:SourceType>
    <b:Guid>{2C1B921F-7B79-46F8-8EC0-A8E81F9A4DDA}</b:Guid>
    <b:Title>Sentencia de la Corte Constitucional</b:Title>
    <b:CaseNumber>18-15-SEP-CC</b:CaseNumber>
    <b:Court>Corte Constitucional del Ecuador</b:Court>
    <b:Year>2015</b:Year>
    <b:Month>Abril</b:Month>
    <b:Day>08</b:Day>
    <b:RefOrder>15</b:RefOrder>
  </b:Source>
  <b:Source>
    <b:Tag>Kon02</b:Tag>
    <b:SourceType>Book</b:SourceType>
    <b:Guid>{C3D9DC4C-F5AA-470B-BD8E-42F940198321}</b:Guid>
    <b:Title>Anuario de Derecho Constitucional Latinoamericano</b:Title>
    <b:Year>2002</b:Year>
    <b:Author>
      <b:Author>
        <b:Corporate>Konrad-Adenauer-Stiftung</b:Corporate>
      </b:Author>
    </b:Author>
    <b:City>Montevideo-Uruguay</b:City>
    <b:Publisher>Mastergraf</b:Publisher>
    <b:RefOrder>16</b:RefOrder>
  </b:Source>
  <b:Source>
    <b:Tag>Asa21</b:Tag>
    <b:SourceType>Book</b:SourceType>
    <b:Guid>{D1B62895-0CB7-48B1-A706-FDAFACE8DCB1}</b:Guid>
    <b:Author>
      <b:Author>
        <b:Corporate>Asamblea Nacional </b:Corporate>
      </b:Author>
    </b:Author>
    <b:Title>Codigo Organico de la Función Judicial</b:Title>
    <b:Year>2021</b:Year>
    <b:City>Quito-Ecuador</b:City>
    <b:Publisher>Corporacion de Estudios y Publicaciones</b:Publisher>
    <b:RefOrder>17</b:RefOrder>
  </b:Source>
  <b:Source>
    <b:Tag>Cat18</b:Tag>
    <b:SourceType>JournalArticle</b:SourceType>
    <b:Guid>{D282A037-A8A9-4E9E-AE10-07A6743A9435}</b:Guid>
    <b:Title>Alcance del principio iura novit curia en la responsabilidad del Estado Colombiano</b:Title>
    <b:Year>2018</b:Year>
    <b:Author>
      <b:Author>
        <b:NameList>
          <b:Person>
            <b:Last>Castro Nuñez</b:Last>
            <b:First>Juán</b:First>
            <b:Middle>José</b:Middle>
          </b:Person>
        </b:NameList>
      </b:Author>
    </b:Author>
    <b:JournalName>Universidad Santo Tomas</b:JournalName>
    <b:Pages>169-178</b:Pages>
    <b:RefOrder>18</b:RefOrder>
  </b:Source>
  <b:Source>
    <b:Tag>Nie14</b:Tag>
    <b:SourceType>JournalArticle</b:SourceType>
    <b:Guid>{8D2AD0CC-B100-46A6-8935-FA39B6397404}</b:Guid>
    <b:Author>
      <b:Author>
        <b:NameList>
          <b:Person>
            <b:Last>Nieto Navia</b:Last>
            <b:First>Rafael</b:First>
          </b:Person>
        </b:NameList>
      </b:Author>
    </b:Author>
    <b:Title>La Aplicacion del Principio Iura Novit Curia por los organos del sistema Interamericano de Derechos Humanos </b:Title>
    <b:JournalName>Estudios de Derecho Internacional, en homenaje a la Dra. Zlata Drnas de Clément</b:JournalName>
    <b:Year>2014</b:Year>
    <b:Pages>618-639</b:Pages>
    <b:RefOrder>19</b:RefOrder>
  </b:Source>
  <b:Source>
    <b:Tag>Sen17</b:Tag>
    <b:SourceType>Case</b:SourceType>
    <b:Guid>{B07BBF26-C375-42C0-BA9D-FF690E30D79C}</b:Guid>
    <b:Title>Sentencia N: 133-17-SEP-CC</b:Title>
    <b:Year>2017</b:Year>
    <b:CaseNumber>N: 0288-12-EP</b:CaseNumber>
    <b:Court>Corte Constitucional del Ecuador</b:Court>
    <b:Month>Mayo</b:Month>
    <b:Day>10</b:Day>
    <b:RefOrder>20</b:RefOrder>
  </b:Source>
  <b:Source>
    <b:Tag>N2815</b:Tag>
    <b:SourceType>Case</b:SourceType>
    <b:Guid>{F7FAA10F-9A68-4293-9BA7-0E7A087A49A2}</b:Guid>
    <b:Title> N: 284-15-SEP-CC</b:Title>
    <b:CaseNumber>N: 2078-14-EP</b:CaseNumber>
    <b:Court>Corte Constitucional del Ecuador </b:Court>
    <b:Year>2015</b:Year>
    <b:Month>Septiembre</b:Month>
    <b:Day>02</b:Day>
    <b:RefOrder>21</b:RefOrder>
  </b:Source>
  <b:Source>
    <b:Tag>Fer16</b:Tag>
    <b:SourceType>Book</b:SourceType>
    <b:Guid>{D18587FC-57AF-4BA9-9399-8718E19BFBEE}</b:Guid>
    <b:Author>
      <b:Author>
        <b:NameList>
          <b:Person>
            <b:Last>Ferrajoli</b:Last>
            <b:First>Luigi</b:First>
          </b:Person>
        </b:NameList>
      </b:Author>
    </b:Author>
    <b:Title>Los Derechos y sus Garantias, Conversación con Mauro Barberis</b:Title>
    <b:Year>2016</b:Year>
    <b:City>Bologna-Italia</b:City>
    <b:Publisher>Trotta S.A.</b:Publisher>
    <b:RefOrder>22</b:RefOrder>
  </b:Source>
  <b:Source>
    <b:Tag>Mon12</b:Tag>
    <b:SourceType>Book</b:SourceType>
    <b:Guid>{70B0C03A-67E5-40E0-BAC5-9A092A83D203}</b:Guid>
    <b:Author>
      <b:Author>
        <b:NameList>
          <b:Person>
            <b:Last>Montaña Pinto</b:Last>
            <b:First>Juan</b:First>
          </b:Person>
        </b:NameList>
      </b:Author>
    </b:Author>
    <b:Title>Apuntes de Derecho Procesal Constitucional, Cuadernos de Trabajo, Tomo I</b:Title>
    <b:Year>2012</b:Year>
    <b:City>Quito-Ecuador</b:City>
    <b:Publisher>Centro de Estudios y Difusión del Derecho Constitucional</b:Publisher>
    <b:RefOrder>23</b:RefOrder>
  </b:Source>
  <b:Source>
    <b:Tag>Cor15</b:Tag>
    <b:SourceType>Book</b:SourceType>
    <b:Guid>{9F665737-D623-4E87-BA74-F3DF417A4E65}</b:Guid>
    <b:Author>
      <b:Author>
        <b:NameList>
          <b:Person>
            <b:Last>Cordero Heredia</b:Last>
            <b:First>David</b:First>
          </b:Person>
          <b:Person>
            <b:Last>Yépez Pulles</b:Last>
            <b:First>Nathaly</b:First>
          </b:Person>
        </b:NameList>
      </b:Author>
    </b:Author>
    <b:Title>Manual (crítico) de Garantias Jurisdiccionale Constitucionales</b:Title>
    <b:Year>2015</b:Year>
    <b:City>Quito-Ecuador</b:City>
    <b:Publisher>Comunicaciones INREDH</b:Publisher>
    <b:RefOrder>24</b:RefOrder>
  </b:Source>
  <b:Source>
    <b:Tag>Zav12</b:Tag>
    <b:SourceType>Book</b:SourceType>
    <b:Guid>{9B442F84-62F1-47A3-B559-77F207A7D349}</b:Guid>
    <b:Author>
      <b:Author>
        <b:NameList>
          <b:Person>
            <b:Last>Zavala Egas</b:Last>
            <b:First>Jorge</b:First>
          </b:Person>
          <b:Person>
            <b:Last>Zavala Luque</b:Last>
            <b:First>Jorge</b:First>
          </b:Person>
          <b:Person>
            <b:Last>Acosta Zavala</b:Last>
            <b:First>Jose</b:First>
            <b:Middle>F.</b:Middle>
          </b:Person>
        </b:NameList>
      </b:Author>
    </b:Author>
    <b:Title>Comentarios a la Ley Orgánica de Garantías Jurisdicionales y Control Constitucional</b:Title>
    <b:Year>2012</b:Year>
    <b:City>Guayaquil-Ecuador</b:City>
    <b:Publisher>EDILEX S.A.</b:Publisher>
    <b:RefOrder>25</b:RefOrder>
  </b:Source>
  <b:Source>
    <b:Tag>Tar09</b:Tag>
    <b:SourceType>Book</b:SourceType>
    <b:Guid>{0EEE7461-671C-49BB-B4C4-380BC66BE793}</b:Guid>
    <b:Author>
      <b:Author>
        <b:NameList>
          <b:Person>
            <b:Last>Tarruffo</b:Last>
            <b:First>Michelle</b:First>
          </b:Person>
          <b:Person>
            <b:Last>Gonzalez Pérez</b:Last>
            <b:First>Jesus</b:First>
            <b:Middle>&amp; otros</b:Middle>
          </b:Person>
        </b:NameList>
      </b:Author>
    </b:Author>
    <b:Title>Constitucion y Proceso</b:Title>
    <b:Year>2009</b:Year>
    <b:City>Lima-Perú</b:City>
    <b:Publisher>ARA EDIOTRES</b:Publisher>
    <b:RefOrder>26</b:RefOrder>
  </b:Source>
  <b:Source>
    <b:Tag>Avi08</b:Tag>
    <b:SourceType>Book</b:SourceType>
    <b:Guid>{F0967E77-0D19-4F7D-A0E4-2150D6E93057}</b:Guid>
    <b:Author>
      <b:Author>
        <b:NameList>
          <b:Person>
            <b:Last>Avila Santamaria</b:Last>
            <b:First>Ramiro</b:First>
          </b:Person>
        </b:NameList>
      </b:Author>
    </b:Author>
    <b:Title>"Las garantías: herramientas imprescrpibles para el cumplimiento de los derechos. Avances conceptuales en la Constitución del 2008", en Ramiro Avila Santamaria, Agustin Grijalva Jimenez, y Ruben Martinez Dalmau, Desafios constitucionales.</b:Title>
    <b:Year>2008</b:Year>
    <b:City>Quito-Ecuador</b:City>
    <b:Publisher>Ministerio de Justicia y Derechos Humanos</b:Publisher>
    <b:RefOrder>27</b:RefOrder>
  </b:Source>
  <b:Source>
    <b:Tag>Rev20</b:Tag>
    <b:SourceType>Case</b:SourceType>
    <b:Guid>{7AE799F3-9546-4360-9A74-18A16DBF8D2C}</b:Guid>
    <b:Title>Revisión de Garantias, Derechos de las Mujeres Embarazadas y en periodo de lactancia.</b:Title>
    <b:Year>2020</b:Year>
    <b:CaseNumber>3-19-JP/20 y acumulados</b:CaseNumber>
    <b:Court>Corte Constitucional del Ecuador </b:Court>
    <b:Month>Agosto</b:Month>
    <b:Day>05</b:Day>
    <b:RefOrder>28</b:RefOrder>
  </b:Source>
  <b:Source>
    <b:Tag>Igu09</b:Tag>
    <b:SourceType>Book</b:SourceType>
    <b:Guid>{EE272800-37F1-4B7E-9B92-1BBD8652D67B}</b:Guid>
    <b:Title>La Motivacion en las sentencias, imperativo constitucional.</b:Title>
    <b:Year>2009</b:Year>
    <b:Author>
      <b:Author>
        <b:NameList>
          <b:Person>
            <b:Last>Iguartua Salaverría</b:Last>
            <b:First>Juan</b:First>
          </b:Person>
        </b:NameList>
      </b:Author>
    </b:Author>
    <b:City>Madrid-España</b:City>
    <b:Publisher>Centro de Estutdios Politicos y Constitucionales</b:Publisher>
    <b:RefOrder>29</b:RefOrder>
  </b:Source>
  <b:Source>
    <b:Tag>Rel16</b:Tag>
    <b:SourceType>Case</b:SourceType>
    <b:Guid>{D10F0720-D3B1-46D4-8745-1FB33FECB053}</b:Guid>
    <b:Title>Relevacia Constitucional </b:Title>
    <b:Year>2016</b:Year>
    <b:CaseNumber>001-16-PJO-CC</b:CaseNumber>
    <b:Court>Corte Constitucional</b:Court>
    <b:Month>Marzo</b:Month>
    <b:Day>22</b:Day>
    <b:RefOrder>30</b:RefOrder>
  </b:Source>
  <b:Source>
    <b:Tag>Acc19</b:Tag>
    <b:SourceType>Case</b:SourceType>
    <b:Guid>{8570A1D2-8C76-4C2C-93D6-16FA35C5B516}</b:Guid>
    <b:Title>Accion Extraordinaria de Protección</b:Title>
    <b:CaseNumber>307-10-EP/19</b:CaseNumber>
    <b:Court>Corte Constitucional del Ecuador </b:Court>
    <b:Year>2019</b:Year>
    <b:Month>Julio</b:Month>
    <b:Day>09</b:Day>
    <b:RefOrder>31</b:RefOrder>
  </b:Source>
  <b:Source>
    <b:Tag>Acc191</b:Tag>
    <b:SourceType>Case</b:SourceType>
    <b:Guid>{0ECF5CC0-8F55-452A-B6BE-FE27C40FB83D}</b:Guid>
    <b:Title>Accion Extraordinaria de Proteccion</b:Title>
    <b:CaseNumber>283-14-EP/19</b:CaseNumber>
    <b:Court>Corte Constitucional del Ecuador </b:Court>
    <b:Year>2019</b:Year>
    <b:Month>Diciembre</b:Month>
    <b:Day>04</b:Day>
    <b:RefOrder>32</b:RefOrder>
  </b:Source>
  <b:Source>
    <b:Tag>Sam14</b:Tag>
    <b:SourceType>Book</b:SourceType>
    <b:Guid>{97F0EAAF-8ECD-4C12-A987-1C09FE5DAF99}</b:Guid>
    <b:Title>Metodologia de la Investigacion, Sexta Edición</b:Title>
    <b:Year>2014</b:Year>
    <b:Author>
      <b:Author>
        <b:NameList>
          <b:Person>
            <b:Last>Sampieri Hernandez</b:Last>
            <b:First>Roberto</b:First>
          </b:Person>
        </b:NameList>
      </b:Author>
    </b:Author>
    <b:City>Santa Fe</b:City>
    <b:Publisher>Interamericana Editores S.A.</b:Publisher>
    <b:RefOrder>33</b:RefOrder>
  </b:Source>
  <b:Source>
    <b:Tag>Álv12</b:Tag>
    <b:SourceType>Book</b:SourceType>
    <b:Guid>{4E26CC49-DB74-436E-83D2-32056F391E96}</b:Guid>
    <b:Author>
      <b:Author>
        <b:NameList>
          <b:Person>
            <b:Last>Álvarez Undurraga</b:Last>
            <b:First>Gabriel</b:First>
          </b:Person>
        </b:NameList>
      </b:Author>
    </b:Author>
    <b:Title>Metodologia de la Investigacion Juridica: Hacia una nueva perspectiva</b:Title>
    <b:Year>2012</b:Year>
    <b:City>Santiago de Chile</b:City>
    <b:Publisher>Direccion de Investigacion, Direccion y Publicaciones; Comisión de Publicaciones </b:Publisher>
    <b:RefOrder>34</b:RefOrder>
  </b:Source>
  <b:Source>
    <b:Tag>MarcadorDePosición3</b:Tag>
    <b:SourceType>Book</b:SourceType>
    <b:Guid>{D7E6F464-293A-4AE0-A233-2747F6B860AF}</b:Guid>
    <b:Title>La pregunta por el método: derecho y metodología de la investigación</b:Title>
    <b:Year>2018</b:Year>
    <b:Author>
      <b:Author>
        <b:NameList>
          <b:Person>
            <b:Last>Aguledo Giraldo</b:Last>
            <b:First>Óscar</b:First>
            <b:Middle>Alexis</b:Middle>
          </b:Person>
        </b:NameList>
      </b:Author>
    </b:Author>
    <b:City>Bogota-Colombia</b:City>
    <b:Publisher>Universidad Catolica de Colombia</b:Publisher>
    <b:RefOrder>35</b:RefOrder>
  </b:Source>
  <b:Source>
    <b:Tag>Bae17</b:Tag>
    <b:SourceType>Book</b:SourceType>
    <b:Guid>{D64E2A39-E66C-4789-B0C2-142B76851B1A}</b:Guid>
    <b:Author>
      <b:Author>
        <b:NameList>
          <b:Person>
            <b:Last>Baena Paz</b:Last>
            <b:First>Guillermina</b:First>
          </b:Person>
        </b:NameList>
      </b:Author>
    </b:Author>
    <b:Title>Metodologia de la Investigacion</b:Title>
    <b:Year>2017</b:Year>
    <b:City>Mexico</b:City>
    <b:Publisher>Grupo, Editorial, Patria</b:Publisher>
    <b:RefOrder>36</b:RefOrder>
  </b:Source>
  <b:Source>
    <b:Tag>Rio15</b:Tag>
    <b:SourceType>JournalArticle</b:SourceType>
    <b:Guid>{696FE347-E342-4EBD-91F7-88831FA31E32}</b:Guid>
    <b:Title>La seleccion del metodo en la investigacion juridica. 100 metodos posibles.</b:Title>
    <b:Year>2015</b:Year>
    <b:Author>
      <b:Author>
        <b:NameList>
          <b:Person>
            <b:Last>Riofrio Martinez</b:Last>
            <b:First>Juan</b:First>
            <b:Middle>Carlos</b:Middle>
          </b:Person>
        </b:NameList>
      </b:Author>
    </b:Author>
    <b:JournalName>Revista de Educacion y Derecho</b:JournalName>
    <b:Pages>1-27</b:Pages>
    <b:RefOrder>37</b:RefOrder>
  </b:Source>
  <b:Source>
    <b:Tag>Uni211</b:Tag>
    <b:SourceType>InternetSite</b:SourceType>
    <b:Guid>{23F994A5-E527-44D0-9D26-05D8AD102773}</b:Guid>
    <b:Title>Universidad de Guayaquil</b:Title>
    <b:Year>2021</b:Year>
    <b:Month>11</b:Month>
    <b:URL>https://www.ug.edu.ec/nosotros/</b:URL>
    <b:Author>
      <b:Author>
        <b:Corporate>Universidad de Guayaquil</b:Corporate>
      </b:Author>
    </b:Author>
    <b:RefOrder>1</b:RefOrder>
  </b:Source>
  <b:Source>
    <b:Tag>Uni161</b:Tag>
    <b:SourceType>DocumentFromInternetSite</b:SourceType>
    <b:Guid>{11B77BA6-3782-4287-B1C9-21C468978331}</b:Guid>
    <b:Title>Universidad de Guayaquil </b:Title>
    <b:Year>2016</b:Year>
    <b:Author>
      <b:Author>
        <b:Corporate>Universidad de Guayaquil </b:Corporate>
      </b:Author>
    </b:Author>
    <b:InternetSiteTitle>ESTRUCTURA ORGÁNICA DE LA UNIVERSIDAD DE GUAYAQUIL</b:InternetSiteTitle>
    <b:URL>https://www.ug.edu.ec/entradas/Documentos_Planificacion/Organigrama.pdf</b:URL>
    <b:RefOrder>2</b:RefOrder>
  </b:Source>
  <b:Source>
    <b:Tag>Uni16</b:Tag>
    <b:SourceType>DocumentFromInternetSite</b:SourceType>
    <b:Guid>{C1B54A8D-A584-4DED-9438-FE13CBB93CD1}</b:Guid>
    <b:Year>2016</b:Year>
    <b:Author>
      <b:Author>
        <b:Corporate>Universidad de Guayaquil</b:Corporate>
      </b:Author>
    </b:Author>
    <b:Month>Mayo</b:Month>
    <b:URL>http://www.ug.edu.ec/entradas/Documentos_Planificacion/PPE_2016-2030.pdf</b:URL>
    <b:RefOrder>3</b:RefOrder>
  </b:Source>
  <b:Source>
    <b:Tag>DeL20</b:Tag>
    <b:SourceType>JournalArticle</b:SourceType>
    <b:Guid>{2A95600A-04D2-4653-931D-D8697C445F01}</b:Guid>
    <b:Title>Educar en tiempos de pandemia</b:Title>
    <b:Year>2020</b:Year>
    <b:URL>http://riull.ull.es/xmlui/handle/915/21379</b:URL>
    <b:JournalName>Universidad de la Laguna</b:JournalName>
    <b:Pages>6</b:Pages>
    <b:Author>
      <b:Author>
        <b:NameList>
          <b:Person>
            <b:Last>De La Rosa Valido</b:Last>
            <b:First>Carlos </b:First>
          </b:Person>
          <b:Person>
            <b:Last>Díaz González </b:Last>
            <b:First>Eisa </b:First>
          </b:Person>
        </b:NameList>
      </b:Author>
    </b:Author>
    <b:RefOrder>4</b:RefOrder>
  </b:Source>
  <b:Source>
    <b:Tag>Int20</b:Tag>
    <b:SourceType>InternetSite</b:SourceType>
    <b:Guid>{31BAB336-D2BC-4DBA-9B4E-AA8CC10817AF}</b:Guid>
    <b:Author>
      <b:Author>
        <b:Corporate>Intituto Internacional para la Educacion Superior en América Latina y el Caribe</b:Corporate>
      </b:Author>
    </b:Author>
    <b:Title>UNESCO</b:Title>
    <b:Year>2020</b:Year>
    <b:Month>04</b:Month>
    <b:Day>02</b:Day>
    <b:URL> https://www.iesalc.unesco.org/2020/04/02/el-coronavirus-covid-19-y-la-educacion-superior-impacto-y-recomendaciones/</b:URL>
    <b:RefOrder>5</b:RefOrder>
  </b:Source>
  <b:Source>
    <b:Tag>Mac21</b:Tag>
    <b:SourceType>JournalArticle</b:SourceType>
    <b:Guid>{5F9DC430-D86E-4C93-B086-58D9A1C95D5A}</b:Guid>
    <b:Title>EFECTOS DEL COVID-19 EN LA EDUCACIÓN SUPERIOR Y LA SUBSECUENTE APLICACIÓN DE AMBIENTES DE APRENDIZAJE VIRTUAL</b:Title>
    <b:JournalName>Revista Científica SAPIENTIAE</b:JournalName>
    <b:Year>2021</b:Year>
    <b:Pages>65</b:Pages>
    <b:Author>
      <b:Author>
        <b:NameList>
          <b:Person>
            <b:Last> Macías Rodríguez</b:Last>
            <b:Middle> Elisa</b:Middle>
            <b:First>Leonela</b:First>
          </b:Person>
          <b:Person>
            <b:Last>Loor Chancay</b:Last>
            <b:Middle> Germania </b:Middle>
            <b:First>Jeoconda</b:First>
          </b:Person>
        </b:NameList>
      </b:Author>
    </b:Author>
    <b:RefOrder>6</b:RefOrder>
  </b:Source>
  <b:Source>
    <b:Tag>GUÍ20</b:Tag>
    <b:SourceType>JournalArticle</b:SourceType>
    <b:Guid>{AF76DC55-6DED-4EF7-A760-CBD14ADDF7F1}</b:Guid>
    <b:Title>Guía Metodológica Académica Modalidad En Línea – U.G.</b:Title>
    <b:JournalName>UNIVERSIDAD DE GUAYAQUIL</b:JournalName>
    <b:Year>2020</b:Year>
    <b:Pages>6</b:Pages>
    <b:RefOrder>7</b:RefOrder>
  </b:Source>
  <b:Source>
    <b:Tag>Com20</b:Tag>
    <b:SourceType>Book</b:SourceType>
    <b:Guid>{9110E501-ACBD-49F9-B6D2-EF02F685AF01}</b:Guid>
    <b:Author>
      <b:Author>
        <b:Corporate>Comisión Económica para America Latina y el caribe</b:Corporate>
      </b:Author>
    </b:Author>
    <b:Title>La educación en tiempos de la pandemia de COVID-19</b:Title>
    <b:Year>2020</b:Year>
    <b:Publisher>CEPAL, UNESCO</b:Publisher>
    <b:RefOrder>8</b:RefOrder>
  </b:Source>
  <b:Source>
    <b:Tag>Día20</b:Tag>
    <b:SourceType>JournalArticle</b:SourceType>
    <b:Guid>{D21CA8D9-B279-451C-A971-6A91B6490499}</b:Guid>
    <b:Title>Percepción del aprendizaje en el contexto de las clases en línea de la Universidad de Guayaquil frente a la COVID-19</b:Title>
    <b:JournalName>Revista Sinapsis</b:JournalName>
    <b:Year>2020 </b:Year>
    <b:Author>
      <b:Author>
        <b:NameList>
          <b:Person>
            <b:Last> Díaz Vera</b:Last>
            <b:First>Janeth Pilar</b:First>
          </b:Person>
          <b:Person>
            <b:Last>Peña Hojas</b:Last>
            <b:First>Delia </b:First>
          </b:Person>
          <b:Person>
            <b:Last>Ruiz Ramirez</b:Last>
            <b:First>Alicia Karina </b:First>
          </b:Person>
          <b:Person>
            <b:Last>Macías Mora</b:Last>
            <b:First>Diana </b:First>
          </b:Person>
        </b:NameList>
      </b:Author>
    </b:Author>
    <b:RefOrder>9</b:RefOrder>
  </b:Source>
  <b:Source>
    <b:Tag>Pen18</b:Tag>
    <b:SourceType>JournalArticle</b:SourceType>
    <b:Guid>{D672C31E-59C7-4181-99FE-8E72EED291F0}</b:Guid>
    <b:Title>Desempeño académico y experiencias de estudiantes universitarios mayas en Yucatán, México</b:Title>
    <b:JournalName>ALTERIDAD. Revista de Educación</b:JournalName>
    <b:Year>2018</b:Year>
    <b:Author>
      <b:Author>
        <b:NameList>
          <b:Person>
            <b:Last>Peniche Cetzal</b:Last>
            <b:First>Rubi Surema </b:First>
          </b:Person>
          <b:Person>
            <b:Last>Ramón Mac</b:Last>
            <b:First>Cristóbal Crescencio </b:First>
          </b:Person>
        </b:NameList>
      </b:Author>
    </b:Author>
    <b:RefOrder>10</b:RefOrder>
  </b:Source>
  <b:Source>
    <b:Tag>Qui13</b:Tag>
    <b:SourceType>JournalArticle</b:SourceType>
    <b:Guid>{AB4CC799-4933-4642-94BF-72908B453410}</b:Guid>
    <b:Title>El desempeño académico: una opción para la cualificación de las instituciones educativas</b:Title>
    <b:Year>2013</b:Year>
    <b:JournalName>Plumilla Educativa</b:JournalName>
    <b:Pages>93-115</b:Pages>
    <b:Author>
      <b:Author>
        <b:NameList>
          <b:Person>
            <b:Last>Quintero Quintero</b:Last>
            <b:Middle> Teresa </b:Middle>
            <b:First>María</b:First>
          </b:Person>
          <b:Person>
            <b:Last>Orozco Vallejo</b:Last>
            <b:First>German Manuel </b:First>
          </b:Person>
        </b:NameList>
      </b:Author>
    </b:Author>
    <b:RefOrder>11</b:RefOrder>
  </b:Source>
  <b:Source>
    <b:Tag>Guz14</b:Tag>
    <b:SourceType>JournalArticle</b:SourceType>
    <b:Guid>{5D53252D-D820-4FB9-A4FF-D102259F9CE4}</b:Guid>
    <b:Title>Comunicación familiar y desempeño académico en estudiantes universitarios</b:Title>
    <b:JournalName>Zona Próxima, núm. 20</b:JournalName>
    <b:Year>2014</b:Year>
    <b:Pages>79-91</b:Pages>
    <b:Author>
      <b:Author>
        <b:NameList>
          <b:Person>
            <b:Last>Guzmán Arteaga</b:Last>
            <b:First>Ramiro</b:First>
          </b:Person>
          <b:Person>
            <b:Last>Pacheco Lora</b:Last>
            <b:Middle>Cecilia</b:Middle>
            <b:First>Martha </b:First>
          </b:Person>
        </b:NameList>
      </b:Author>
    </b:Author>
    <b:RefOrder>12</b:RefOrder>
  </b:Source>
  <b:Source>
    <b:Tag>Bui12</b:Tag>
    <b:SourceType>JournalArticle</b:SourceType>
    <b:Guid>{D874F8A9-B181-448D-A630-6212F15594E4}</b:Guid>
    <b:Title>Los foros de discusión y sus beneficios en la docencia virtual: recomendaciones para un uso eficiente</b:Title>
    <b:Year>2012</b:Year>
    <b:JournalName>NNOVAR. Revista de Ciencias Administrativas y Sociales, vol. 22, núm. 43,</b:JournalName>
    <b:Pages>131-143</b:Pages>
    <b:Author>
      <b:Author>
        <b:NameList>
          <b:Person>
            <b:Last>Buil</b:Last>
            <b:First>Isabe</b:First>
          </b:Person>
          <b:Person>
            <b:Last>Hernández</b:Last>
            <b:First>Blanca</b:First>
          </b:Person>
          <b:Person>
            <b:Last>Sesé F</b:Last>
            <b:First> Javier</b:First>
          </b:Person>
          <b:Person>
            <b:Last>Urquizu </b:Last>
            <b:First>Pilar</b:First>
          </b:Person>
        </b:NameList>
      </b:Author>
    </b:Author>
    <b:RefOrder>13</b:RefOrder>
  </b:Source>
  <b:Source>
    <b:Tag>Fue20</b:Tag>
    <b:SourceType>JournalArticle</b:SourceType>
    <b:Guid>{3601FE77-DA5A-4077-B260-1E6498BFB234}</b:Guid>
    <b:Title>LAS TAREAS DOCENTES EN LA ENSEÑANZA UNIVERSITARIA: UNA VÍA PARA ALCANZAR EL APRENDIZAJE SIGNIFICATIVO</b:Title>
    <b:JournalName>Revista Electrónica Formación y Calidad Educativa (REFCalE)</b:JournalName>
    <b:Year>2020</b:Year>
    <b:Author>
      <b:Author>
        <b:NameList>
          <b:Person>
            <b:Last>Fuentes Aparicio </b:Last>
            <b:First>Arian </b:First>
          </b:Person>
          <b:Person>
            <b:Last>Puerto Menéndez</b:Last>
            <b:First>Osley </b:First>
          </b:Person>
          <b:Person>
            <b:Last>Suárez Abrahante</b:Last>
            <b:First>Roilys Jorje </b:First>
          </b:Person>
          <b:Person>
            <b:Last>Rodríguez Sánchez</b:Last>
            <b:First>Johnny Gustavo</b:First>
          </b:Person>
        </b:NameList>
      </b:Author>
    </b:Author>
    <b:RefOrder>14</b:RefOrder>
  </b:Source>
  <b:Source>
    <b:Tag>Cas16</b:Tag>
    <b:SourceType>JournalArticle</b:SourceType>
    <b:Guid>{44B12515-BBC9-4D33-954F-64E13C578251}</b:Guid>
    <b:Title>El uso del foro virtual para desarrollar el aprendizaje autorregulado de los estudiantes universitarios</b:Title>
    <b:JournalName>Innovación Educativa, vol. 16, núm. 70</b:JournalName>
    <b:Year>2016</b:Year>
    <b:Pages>23-41</b:Pages>
    <b:Author>
      <b:Author>
        <b:NameList>
          <b:Person>
            <b:Last>Castro Méndez</b:Last>
            <b:First>Nelson </b:First>
          </b:Person>
          <b:Person>
            <b:Last>Suárez Cretton</b:Last>
            <b:First>Ximena </b:First>
          </b:Person>
          <b:Person>
            <b:Last>Soto Espinoza</b:Last>
            <b:First>Víctor </b:First>
          </b:Person>
        </b:NameList>
      </b:Author>
    </b:Author>
    <b:RefOrder>15</b:RefOrder>
  </b:Source>
  <b:Source>
    <b:Tag>Poz18</b:Tag>
    <b:SourceType>JournalArticle</b:SourceType>
    <b:Guid>{198119A7-3946-44AA-96F3-8749B209F104}</b:Guid>
    <b:Title>Uso de cuestionarios en investigaciones sobre universidad: análisis de experiencias desde una perspectiva situada</b:Title>
    <b:JournalName>Revista Latinoamericana de Metodología de las Ciencias Sociales</b:JournalName>
    <b:Year> 2018</b:Year>
    <b:Author>
      <b:Author>
        <b:NameList>
          <b:Person>
            <b:Last>Pozzo</b:Last>
            <b:First>María Isabel </b:First>
          </b:Person>
          <b:Person>
            <b:Last>Borgobello</b:Last>
            <b:First>Ana </b:First>
          </b:Person>
          <b:Person>
            <b:Last>Pierella</b:Last>
            <b:First>María Paula </b:First>
          </b:Person>
        </b:NameList>
      </b:Author>
    </b:Author>
    <b:RefOrder>16</b:RefOrder>
  </b:Source>
  <b:Source>
    <b:Tag>Fer19</b:Tag>
    <b:SourceType>JournalArticle</b:SourceType>
    <b:Guid>{06C4104B-61C2-4217-9876-2DC5765D48EE}</b:Guid>
    <b:Title>Cuadernillo técnico de evaluación educativa Desarrollo de instrumentos de evaluación: tareas de desempeño y rúbricas</b:Title>
    <b:JournalName>Instituto Nacional para la Evaluación de la Educación INEE</b:JournalName>
    <b:Year>2019</b:Year>
    <b:City>México</b:City>
    <b:Author>
      <b:Author>
        <b:NameList>
          <b:Person>
            <b:Last>Fernández Vázquez</b:Last>
            <b:First>Paloma </b:First>
          </b:Person>
          <b:Person>
            <b:Last>Haquin Bravo</b:Last>
            <b:First>Ángela </b:First>
          </b:Person>
        </b:NameList>
      </b:Author>
    </b:Author>
    <b:RefOrder>17</b:RefOrder>
  </b:Source>
  <b:Source>
    <b:Tag>CAR17</b:Tag>
    <b:SourceType>BookSection</b:SourceType>
    <b:Guid>{1DF862DC-21B6-480A-BD0B-00D3DB19ACD8}</b:Guid>
    <b:Title>“ANÁLISIS DEL COMPORTAMIENTO DEL MOTOR MITSUBISHI 4D31T CON EL USO DE BIODIÉSEL A BASE DE ALGAS, EMPLEANDO MEZCLA B5”</b:Title>
    <b:BookTitle>“ANÁLISIS DEL COMPORTAMIENTO DEL MOTOR MITSUBISHI 4D31T CON EL USO DE BIODIÉSEL A BASE DE ALGAS, EMPLEANDO MEZCLA B5”</b:BookTitle>
    <b:Year>2017</b:Year>
    <b:Pages>43</b:Pages>
    <b:City>Ibarra</b:City>
    <b:Author>
      <b:Author>
        <b:NameList>
          <b:Person>
            <b:Last>CARLOSMAFLA</b:Last>
          </b:Person>
        </b:NameList>
      </b:Author>
      <b:BookAuthor>
        <b:NameList>
          <b:Person>
            <b:Last>CARLOSMAFLA</b:Last>
          </b:Person>
        </b:NameList>
      </b:BookAuthor>
    </b:Author>
    <b:URL>http://repositorio.utn.edu.ec/handle/123456789/7985</b:URL>
    <b:RefOrder>1</b:RefOrder>
  </b:Source>
  <b:Source>
    <b:Tag>Ala18</b:Tag>
    <b:SourceType>Report</b:SourceType>
    <b:Guid>{1562EAF3-38DE-49FF-9CBB-6806A9125F0B}</b:Guid>
    <b:Title>EFECTO DE LA MICRO ALGA (Chlorella vulgaris) EN EL TRATAMIENTO DE EFLUENTES PROVENIENTES DE LA EXPLOTACIÓN BOVINA Y PORCINA UBICADOS EN LA GRANJA EXPERIMENTAL DE LA FACULTAD DE MEDICINA VETERINARIA Y ZOOTECNIA</b:Title>
    <b:Year>2018</b:Year>
    <b:City>San Carlos Guatemala</b:City>
    <b:Author>
      <b:Author>
        <b:NameList>
          <b:Person>
            <b:Last>Alarcón</b:Last>
            <b:First>Luis</b:First>
          </b:Person>
        </b:NameList>
      </b:Author>
    </b:Author>
    <b:Pages>10 -11</b:Pages>
    <b:URL>http://www.repositorio.usac.edu.gt/8488/1/Tesis%20Luis%20Alarc%C3%B3n.pdf</b:URL>
    <b:RefOrder>2</b:RefOrder>
  </b:Source>
  <b:Source>
    <b:Tag>Eve19</b:Tag>
    <b:SourceType>Report</b:SourceType>
    <b:Guid>{FA8F7B69-9ADF-4CF0-A459-14C40FA33744}</b:Guid>
    <b:Title>Eficiencia del alga Macrocystis integrifolia en la aplicación de la cinética de adsorción de plomo, efluente minero, Arequipa 2019.</b:Title>
    <b:Year>2019</b:Year>
    <b:City>Piura Peru</b:City>
    <b:Author>
      <b:Author>
        <b:NameList>
          <b:Person>
            <b:Last>Avellaneda</b:Last>
            <b:First>Evelyn</b:First>
            <b:Middle>Giovanna Ramirez</b:Middle>
          </b:Person>
        </b:NameList>
      </b:Author>
    </b:Author>
    <b:Institution>Universidad Cesar Vallejo</b:Institution>
    <b:Pages>30- 56</b:Pages>
    <b:URL>https://repositorio.ucv.edu.pe/bitstream/handle/20.500.12692/40060/Ramirez%20_AEG.pdf?sequence=1&amp;isAllowed=y</b:URL>
    <b:RefOrder>3</b:RefOrder>
  </b:Source>
  <b:Source>
    <b:Tag>CLA15</b:Tag>
    <b:SourceType>Report</b:SourceType>
    <b:Guid>{CDFFE1F0-75C1-4BF3-8EDF-36C23FC9B58B}</b:Guid>
    <b:Title>PROFESOR PATROCINANTE:MBA. MARÍA GABRIELA MANOLI ESCUELA DE INGENIERÍA CIVIL INDUSTRIALPlan de Negocio de “Producción Sostenible a nivel industrial del alga parda Macrocystis pyrifera (huiro) en Chile, con Mercado Objetivo en la Industria Abalonera</b:Title>
    <b:Year>2015</b:Year>
    <b:City>PUERTO MONTT –CHILE</b:City>
    <b:Author>
      <b:Author>
        <b:NameList>
          <b:Person>
            <b:Last>MUÑOZ</b:Last>
            <b:First>CLAUDIO</b:First>
            <b:Middle>ANDRES MUÑOZ</b:Middle>
          </b:Person>
        </b:NameList>
      </b:Author>
    </b:Author>
    <b:Institution>Universidad Austral de Chile </b:Institution>
    <b:Pages>40</b:Pages>
    <b:URL>http://cybertesis.uach.cl/tesis/uach/2015/bpmfcim971p/doc/bpmfcim971p.pdf</b:URL>
    <b:RefOrder>4</b:RefOrder>
  </b:Source>
  <b:Source>
    <b:Tag>GAL15</b:Tag>
    <b:SourceType>Report</b:SourceType>
    <b:Guid>{682A4FE9-5891-448C-8D9A-612429215A94}</b:Guid>
    <b:Title>‘’EFECTO DE LAS ALGAS MARINAS EN LA FERTILIZACIÓNDEL CULTIVO DE ARROZ (Oryza sativa L.)’’</b:Title>
    <b:Year>2015</b:Year>
    <b:City>Guayaquil</b:City>
    <b:Author>
      <b:Author>
        <b:NameList>
          <b:Person>
            <b:Last>ABATA</b:Last>
            <b:First>GALO</b:First>
            <b:Middle>ENRIQUE VILLAFUERTE</b:Middle>
          </b:Person>
        </b:NameList>
      </b:Author>
    </b:Author>
    <b:Pages>6 - 7</b:Pages>
    <b:URL>http://repositorio.ug.edu.ec/bitstream/redug/8494/1/Villafuerte%20Abata%20Galo%20Enrique.pdf</b:URL>
    <b:RefOrder>5</b:RefOrder>
  </b:Source>
  <b:Source>
    <b:Tag>TOR19</b:Tag>
    <b:SourceType>BookSection</b:SourceType>
    <b:Guid>{410B6FB9-AC6F-4DF4-B8CE-6D6612D6F9E5}</b:Guid>
    <b:Title>ALGASMARINASEN EL RENDIMIENTO Y CALIDAD DE SANDÍA (Citrulluslanatus)cv. Santa MatildeBAJO CONDICIONES DEL VALLE DE CAÑETE”</b:Title>
    <b:Year>2019</b:Year>
    <b:City>Lima Peru</b:City>
    <b:Author>
      <b:Author>
        <b:NameList>
          <b:Person>
            <b:Last>TORRES</b:Last>
            <b:First>ALAN</b:First>
            <b:Middle>JUNIOR SANCHEZ</b:Middle>
          </b:Person>
        </b:NameList>
      </b:Author>
      <b:BookAuthor>
        <b:NameList>
          <b:Person>
            <b:Last>TORRES</b:Last>
            <b:First>ALAN</b:First>
            <b:Middle>JUNIOR SANCHEZ</b:Middle>
          </b:Person>
        </b:NameList>
      </b:BookAuthor>
    </b:Author>
    <b:Pages>14</b:Pages>
    <b:URL>https://core.ac.uk/download/pdf/270037005.pdf</b:URL>
    <b:BookTitle>ALGASMARINASEN EL RENDIMIENTO Y CALIDAD DE SANDÍA (Citrulluslanatus)cv. Santa MatildeBAJO CONDICIONES DEL VALLE DE CAÑETE”</b:BookTitle>
    <b:RefOrder>6</b:RefOrder>
  </b:Source>
  <b:Source>
    <b:Tag>Bar90</b:Tag>
    <b:SourceType>Book</b:SourceType>
    <b:Guid>{3F682C2C-5624-48E3-AA17-5BE66FA8DC18}</b:Guid>
    <b:Author>
      <b:Author>
        <b:NameList>
          <b:Person>
            <b:Last>Rotger</b:Last>
            <b:First>Bartolomé</b:First>
          </b:Person>
        </b:NameList>
      </b:Author>
    </b:Author>
    <b:Title>evaluación formativa</b:Title>
    <b:Year>1990</b:Year>
    <b:City>Madrid</b:City>
    <b:Publisher>Cincel. </b:Publisher>
    <b:RefOrder>1</b:RefOrder>
  </b:Source>
  <b:Source>
    <b:Tag>Din02</b:Tag>
    <b:SourceType>Book</b:SourceType>
    <b:Guid>{9AD95C24-59CC-45C0-BA9C-5573D9F4DD00}</b:Guid>
    <b:Title>Mañana examen</b:Title>
    <b:Year>2002</b:Year>
    <b:City>Barcelona</b:City>
    <b:Publisher>Graó</b:Publisher>
    <b:JournalName>Revista docencia universitaria</b:JournalName>
    <b:Author>
      <b:Author>
        <b:NameList>
          <b:Person>
            <b:Last>Salinas Fernández</b:Last>
            <b:First>Dino</b:First>
          </b:Person>
        </b:NameList>
      </b:Author>
    </b:Author>
    <b:RefOrder>2</b:RefOrder>
  </b:Source>
  <b:Source>
    <b:Tag>Álv03</b:Tag>
    <b:SourceType>Book</b:SourceType>
    <b:Guid>{0699CBFD-3CCD-44CC-A707-1306AA2A215F}</b:Guid>
    <b:Title>La evaluación a examen</b:Title>
    <b:Year>2003</b:Year>
    <b:City>Madrid</b:City>
    <b:Publisher>Miño y Dávila</b:Publisher>
    <b:Author>
      <b:Author>
        <b:NameList>
          <b:Person>
            <b:Last>Álvarez </b:Last>
            <b:First>Juan Manuel</b:First>
          </b:Person>
        </b:NameList>
      </b:Author>
    </b:Author>
    <b:RefOrder>3</b:RefOrder>
  </b:Source>
  <b:Source>
    <b:Tag>Ped77</b:Tag>
    <b:SourceType>Book</b:SourceType>
    <b:Guid>{7C13C350-7747-4FE0-ABE0-2E9E23DBDB72}</b:Guid>
    <b:Title>Evaluacion de los aprendizajes </b:Title>
    <b:Year>1977</b:Year>
    <b:Author>
      <b:Author>
        <b:NameList>
          <b:Person>
            <b:Last>Lafourcade</b:Last>
            <b:First>Pedro</b:First>
          </b:Person>
        </b:NameList>
      </b:Author>
    </b:Author>
    <b:City>Madrid</b:City>
    <b:Publisher>kapelusz</b:Publisher>
    <b:RefOrder>4</b:RefOrder>
  </b:Source>
  <b:Source>
    <b:Tag>Cab11</b:Tag>
    <b:SourceType>JournalArticle</b:SourceType>
    <b:Guid>{938F1B46-AA21-43A3-9AD2-FCBC30432B8F}</b:Guid>
    <b:Title>Técnicas e instrumentos de evaluación: una propuesta de clasificación</b:Title>
    <b:Year>2011</b:Year>
    <b:JournalName>REIRE, Revista d’Innovació i Recerca en Educació</b:JournalName>
    <b:Pages>112-124</b:Pages>
    <b:Author>
      <b:Author>
        <b:NameList>
          <b:Person>
            <b:Last>Cabrera Rodríguez </b:Last>
            <b:First>Flor A</b:First>
          </b:Person>
        </b:NameList>
      </b:Author>
    </b:Author>
    <b:RefOrder>5</b:RefOrder>
  </b:Source>
  <b:Source>
    <b:Tag>Ubi16</b:Tag>
    <b:SourceType>Book</b:SourceType>
    <b:Guid>{5B24CD7A-DF8C-4DF5-9086-D058F6536B62}</b:Guid>
    <b:Title>Tecnicas e Instrumentos de Evaluacion</b:Title>
    <b:Year>2016</b:Year>
    <b:City>Santo Domingo/ Repubica Dominicana</b:City>
    <b:Publisher>Or service, S.R.L.</b:Publisher>
    <b:Author>
      <b:Author>
        <b:NameList>
          <b:Person>
            <b:Last>Ubiera</b:Last>
            <b:First>Letty M</b:First>
          </b:Person>
          <b:Person>
            <b:Last>D'Oleo</b:Last>
            <b:First>Alejandro </b:First>
          </b:Person>
        </b:NameList>
      </b:Author>
    </b:Author>
    <b:RefOrder>6</b:RefOrder>
  </b:Source>
  <b:Source>
    <b:Tag>Día13</b:Tag>
    <b:SourceType>JournalArticle</b:SourceType>
    <b:Guid>{5FE36A8A-5B11-4A2F-BC6D-CE07187BA351}</b:Guid>
    <b:Title>La entrevista, recurso flexible y dinámico</b:Title>
    <b:Year>2013</b:Year>
    <b:JournalName>Scielo </b:JournalName>
    <b:Author>
      <b:Author>
        <b:NameList>
          <b:Person>
            <b:Last>Díaz Bravo</b:Last>
            <b:First>Laura Pamela</b:First>
          </b:Person>
        </b:NameList>
      </b:Author>
    </b:Author>
    <b:RefOrder>7</b:RefOrder>
  </b:Source>
  <b:Source>
    <b:Tag>Cab86</b:Tag>
    <b:SourceType>BookSection</b:SourceType>
    <b:Guid>{DE318E69-4CDF-4CCC-AA2B-A702EACDD088}</b:Guid>
    <b:Title>Técnicas sociométricas.</b:Title>
    <b:Year>1986</b:Year>
    <b:City>Barcelona</b:City>
    <b:Author>
      <b:Author>
        <b:NameList>
          <b:Person>
            <b:Last>Cabrera </b:Last>
            <b:First>F</b:First>
          </b:Person>
          <b:Person>
            <b:Last>Espín</b:Last>
            <b:First> J. V.</b:First>
          </b:Person>
        </b:NameList>
      </b:Author>
    </b:Author>
    <b:Publisher>PPU</b:Publisher>
    <b:BookTitle>Medición y evaluación educativa</b:BookTitle>
    <b:Pages>241-269</b:Pages>
    <b:RefOrder>8</b:RefOrder>
  </b:Source>
  <b:Source>
    <b:Tag>Lóp15</b:Tag>
    <b:SourceType>JournalArticle</b:SourceType>
    <b:Guid>{5A4DB36A-BC4E-4501-8319-D131A7B90913}</b:Guid>
    <b:Title>Medios, técnicas e instrumentos de evaluación formativa y compartida del aprendizaje en educación superior</b:Title>
    <b:Year>2015</b:Year>
    <b:JournalName>Scielo </b:JournalName>
    <b:Author>
      <b:Author>
        <b:NameList>
          <b:Person>
            <b:Last> López Pastor</b:Last>
            <b:First>Víctor Manuel</b:First>
          </b:Person>
          <b:Person>
            <b:Last>López Pastor</b:Last>
            <b:First>Ana Teresa </b:First>
          </b:Person>
        </b:NameList>
      </b:Author>
    </b:Author>
    <b:RefOrder>9</b:RefOrder>
  </b:Source>
  <b:Source>
    <b:Tag>Arr04</b:Tag>
    <b:SourceType>JournalArticle</b:SourceType>
    <b:Guid>{32B3A79D-1C69-438B-86D6-A292EC70072F}</b:Guid>
    <b:Title>Diseño y validacion de cuestionarios </b:Title>
    <b:Year>2004</b:Year>
    <b:JournalName>Matronas Profesion </b:JournalName>
    <b:Pages>23-29</b:Pages>
    <b:Author>
      <b:Author>
        <b:NameList>
          <b:Person>
            <b:Last>Arribas</b:Last>
            <b:First>Martin </b:First>
          </b:Person>
        </b:NameList>
      </b:Author>
    </b:Author>
    <b:RefOrder>10</b:RefOrder>
  </b:Source>
  <b:Source>
    <b:Tag>Cam08</b:Tag>
    <b:SourceType>JournalArticle</b:SourceType>
    <b:Guid>{7B3BB929-DA80-4510-8FBF-7683291DA0DA}</b:Guid>
    <b:Title>LA INDAGACION: UNA ESTRATEGIA PARA EL APRENDIZAJE DE PROCESOS DE INVESTIGACION </b:Title>
    <b:JournalName>LAURUS Revista de Educacion</b:JournalName>
    <b:Year>2008</b:Year>
    <b:Pages>284-306</b:Pages>
    <b:Author>
      <b:Author>
        <b:NameList>
          <b:Person>
            <b:Last>Camacho </b:Last>
            <b:First>Hermelinda</b:First>
          </b:Person>
          <b:Person>
            <b:Last>Casilla</b:Last>
            <b:First>Darcy</b:First>
          </b:Person>
          <b:Person>
            <b:Last>Finol de Franco </b:Last>
            <b:First>Mineira</b:First>
          </b:Person>
        </b:NameList>
      </b:Author>
    </b:Author>
    <b:RefOrder>11</b:RefOrder>
  </b:Source>
  <b:Source>
    <b:Tag>Julyo</b:Tag>
    <b:SourceType>InternetSite</b:SourceType>
    <b:Guid>{DF7B24D8-4A7F-47D7-B8EA-7320F2CDE492}</b:Guid>
    <b:Title>ECOLEGIOS</b:Title>
    <b:Year>2014</b:Year>
    <b:Author>
      <b:Author>
        <b:NameList>
          <b:Person>
            <b:Last>Perez</b:Last>
            <b:First>Julian</b:First>
          </b:Person>
        </b:NameList>
      </b:Author>
    </b:Author>
    <b:Month>05</b:Month>
    <b:Day>13</b:Day>
    <b:URL>http://www.minam.gob.pe/proyecolegios/Curso/curso-virtual/Modulos/modulo2/1Inicial/m2_inicial/los_instrumentos_de_evaluacin.html</b:URL>
    <b:RefOrder>12</b:RefOrder>
  </b:Source>
  <b:Source>
    <b:Tag>Mor10</b:Tag>
    <b:SourceType>JournalArticle</b:SourceType>
    <b:Guid>{C5571445-FCED-499F-8934-DC78B4B5A5E3}</b:Guid>
    <b:Author>
      <b:Author>
        <b:NameList>
          <b:Person>
            <b:Last>Moreno</b:Last>
            <b:First>Victor</b:First>
          </b:Person>
        </b:NameList>
      </b:Author>
    </b:Author>
    <b:Title>Sobnre el derecho de defensa</b:Title>
    <b:Year>2010</b:Year>
    <b:Pages>17</b:Pages>
    <b:City>Valencia</b:City>
    <b:JournalName>Teoría &amp; Derecho Revista de Pensamiento Jurídico</b:JournalName>
    <b:Issue>8</b:Issue>
    <b:RefOrder>1</b:RefOrder>
  </b:Source>
  <b:Source>
    <b:Tag>Lan12</b:Tag>
    <b:SourceType>JournalArticle</b:SourceType>
    <b:Guid>{867D66E7-AE13-485A-B909-B1A112EB69F3}</b:Guid>
    <b:Author>
      <b:Author>
        <b:NameList>
          <b:Person>
            <b:Last>Landa</b:Last>
            <b:First>Cesar</b:First>
          </b:Person>
        </b:NameList>
      </b:Author>
    </b:Author>
    <b:Title>El  derecho fundamental  al  debido proceso y a la tutela judicial efectivo</b:Title>
    <b:JournalName>Pensamiento Constitucioanal</b:JournalName>
    <b:Year>2012</b:Year>
    <b:Publisher>file:///C:/Users/MINEDUC/AppData/Local/Temp/3287-Texto%20del%20art%C3%ADculo-12416-1-10-20121110.pdf</b:Publisher>
    <b:Issue>8</b:Issue>
    <b:RefOrder>2</b:RefOrder>
  </b:Source>
  <b:Source>
    <b:Tag>LCu13</b:Tag>
    <b:SourceType>Book</b:SourceType>
    <b:Guid>{9C248937-2B47-4EFB-86D7-8BC683745A90}</b:Guid>
    <b:Title>El debido proceso</b:Title>
    <b:Year>2013</b:Year>
    <b:Author>
      <b:Author>
        <b:NameList>
          <b:Person>
            <b:Last>Cueva</b:Last>
            <b:First>L</b:First>
          </b:Person>
        </b:NameList>
      </b:Author>
    </b:Author>
    <b:City>Quito</b:City>
    <b:Publisher>Cueva Carrrion</b:Publisher>
    <b:RefOrder>4</b:RefOrder>
  </b:Source>
  <b:Source>
    <b:Tag>Pro21</b:Tag>
    <b:SourceType>Book</b:SourceType>
    <b:Guid>{A02C44C0-3039-4B1D-B1DB-F15DDAC5C2BA}</b:Guid>
    <b:Author>
      <b:Author>
        <b:Corporate>Programa Sin-Frontera</b:Corporate>
      </b:Author>
    </b:Author>
    <b:Title>Manual didactico para la proteccion de los derechos en las juntas cantonales de proteccion e derechos</b:Title>
    <b:Year>2021</b:Year>
    <b:City>Ecuador</b:City>
    <b:URL>http://repositorio.dpe.gob.ec/bitstream/39000/2968/1/PE-005-DPE-2021.pdf</b:URL>
    <b:RefOrder>5</b:RefOrder>
  </b:Source>
  <b:Source>
    <b:Tag>Min17</b:Tag>
    <b:SourceType>DocumentFromInternetSite</b:SourceType>
    <b:Guid>{EC0A1879-E677-4128-914E-3FCEC99F540E}</b:Guid>
    <b:Author>
      <b:Author>
        <b:Corporate>Ministerio de Educación </b:Corporate>
      </b:Author>
    </b:Author>
    <b:Title>www.educacion.gob.ec</b:Title>
    <b:Year>2017</b:Year>
    <b:YearAccessed>2021</b:YearAccessed>
    <b:MonthAccessed>Mayo</b:MonthAccessed>
    <b:URL>https://educacion.gob.ec/wp-content/uploads/downloads/2017/08/oferta-formativa-de-bachillerato-tecnico.pdf</b:URL>
    <b:RefOrder>1</b:RefOrder>
  </b:Source>
  <b:Source>
    <b:Tag>MIN21</b:Tag>
    <b:SourceType>DocumentFromInternetSite</b:SourceType>
    <b:Guid>{EFB6CBE5-AF2C-4CF3-956D-A541BB31846E}</b:Guid>
    <b:Author>
      <b:Author>
        <b:Corporate>MINEDUC</b:Corporate>
      </b:Author>
    </b:Author>
    <b:Title>www.educacion.gob.ec</b:Title>
    <b:Year>2021</b:Year>
    <b:YearAccessed>2021</b:YearAccessed>
    <b:MonthAccessed>Mayo</b:MonthAccessed>
    <b:URL>https://educacion.gob.ec/bachillerato-tecnico/</b:URL>
    <b:RefOrder>2</b:RefOrder>
  </b:Source>
  <b:Source>
    <b:Tag>Ben19</b:Tag>
    <b:SourceType>DocumentFromInternetSite</b:SourceType>
    <b:Guid>{6F1491F1-97AF-4C36-B622-9426C51265FD}</b:Guid>
    <b:Author>
      <b:Author>
        <b:NameList>
          <b:Person>
            <b:Last>Benítez</b:Last>
            <b:First>Robinson</b:First>
          </b:Person>
        </b:NameList>
      </b:Author>
    </b:Author>
    <b:Title>www.scielo.sld.cu</b:Title>
    <b:Year>2019</b:Year>
    <b:Month>Diciembre</b:Month>
    <b:Day>02</b:Day>
    <b:YearAccessed>2021</b:YearAccessed>
    <b:MonthAccessed>Mayo</b:MonthAccessed>
    <b:DayAccessed>23</b:DayAccessed>
    <b:URL>http://scielo.sld.cu/scielo.php?script=sci_arttext&amp;pid=S2218-36202019000500356</b:URL>
    <b:RefOrder>3</b:RefOrder>
  </b:Source>
  <b:Source>
    <b:Tag>SUP21</b:Tag>
    <b:SourceType>DocumentFromInternetSite</b:SourceType>
    <b:Guid>{F1359EE2-7EC0-4260-801C-8BFA27D2466A}</b:Guid>
    <b:Author>
      <b:Author>
        <b:Corporate>SUPERCÍAS</b:Corporate>
      </b:Author>
    </b:Author>
    <b:Title>www.supercias.gob.ec</b:Title>
    <b:Year>2021</b:Year>
    <b:Month>Abril</b:Month>
    <b:YearAccessed>2021</b:YearAccessed>
    <b:MonthAccessed>Mayo</b:MonthAccessed>
    <b:DayAccessed>24</b:DayAccessed>
    <b:URL>https://reporteria.supercias.gob.ec/portal/cgi-bin/cognos.cgi?b_action=cognosViewer&amp;ui.action=run&amp;ui.object=%2fcontent%2ffolder%5b%40name%3d%27Reportes%27%5d%2ffolder%5b%40name%3d%27Compa%c3%b1ia%27%5d%2freport%5b%40name%3d%27Directorio%20Resumido%27%5d&amp;u</b:URL>
    <b:RefOrder>4</b:RefOrder>
  </b:Source>
  <b:Source>
    <b:Tag>Ser21</b:Tag>
    <b:SourceType>InternetSite</b:SourceType>
    <b:Guid>{EA52D00F-EB87-440D-85CE-B9BBFE5E38C2}</b:Guid>
    <b:Title>www.sri.gob.ec</b:Title>
    <b:Year>2021</b:Year>
    <b:Month>Mayo</b:Month>
    <b:YearAccessed>2021</b:YearAccessed>
    <b:MonthAccessed>Mayo</b:MonthAccessed>
    <b:DayAccessed>24</b:DayAccessed>
    <b:URL>https://www.sri.gob.ec/catastros</b:URL>
    <b:Author>
      <b:Author>
        <b:Corporate>Servicios de Rentas Internas</b:Corporate>
      </b:Author>
    </b:Author>
    <b:RefOrder>5</b:RefOrder>
  </b:Source>
  <b:Source>
    <b:Tag>Lóp16</b:Tag>
    <b:SourceType>DocumentFromInternetSite</b:SourceType>
    <b:Guid>{9EE4D81C-3C4B-4A4E-B0DF-70D6F6DC461A}</b:Guid>
    <b:Title>www.redalyc.org</b:Title>
    <b:Year>2016</b:Year>
    <b:Month>Abril</b:Month>
    <b:YearAccessed>2021</b:YearAccessed>
    <b:MonthAccessed>Mayo</b:MonthAccessed>
    <b:DayAccessed>24</b:DayAccessed>
    <b:URL>https://www.redalyc.org/pdf/567/56745576016.pdf</b:URL>
    <b:Author>
      <b:Author>
        <b:NameList>
          <b:Person>
            <b:Last>López Gómez</b:Last>
            <b:First>Ernesto</b:First>
          </b:Person>
        </b:NameList>
      </b:Author>
    </b:Author>
    <b:RefOrder>6</b:RefOrder>
  </b:Source>
  <b:Source>
    <b:Tag>Pér12</b:Tag>
    <b:SourceType>InternetSite</b:SourceType>
    <b:Guid>{D529F3D7-BFCC-4E67-BDF8-EB391607A867}</b:Guid>
    <b:Author>
      <b:Author>
        <b:NameList>
          <b:Person>
            <b:Last>Pérez Capdevila</b:Last>
            <b:First>Javier</b:First>
          </b:Person>
        </b:NameList>
      </b:Author>
    </b:Author>
    <b:Title>www.dialnet.unirioja.es</b:Title>
    <b:Year>2012</b:Year>
    <b:Month>Abril</b:Month>
    <b:YearAccessed>2021</b:YearAccessed>
    <b:MonthAccessed>Mayo</b:MonthAccessed>
    <b:DayAccessed>24</b:DayAccessed>
    <b:URL>https://dialnet.unirioja.es/descarga/articulo/3920458.pdf</b:URL>
    <b:RefOrder>7</b:RefOrder>
  </b:Source>
  <b:Source>
    <b:Tag>Ail08</b:Tag>
    <b:SourceType>DocumentFromInternetSite</b:SourceType>
    <b:Guid>{42CD2373-9E69-4584-AFA9-481206579AA3}</b:Guid>
    <b:Title>www.core.ac.uk</b:Title>
    <b:Year>2008</b:Year>
    <b:Author>
      <b:Author>
        <b:NameList>
          <b:Person>
            <b:Last>Aillón</b:Last>
            <b:First>A</b:First>
          </b:Person>
          <b:Person>
            <b:Last>Parra</b:Last>
            <b:First>J</b:First>
          </b:Person>
          <b:Person>
            <b:Last>Prado</b:Last>
            <b:First>L</b:First>
          </b:Person>
        </b:NameList>
      </b:Author>
    </b:Author>
    <b:Month>Julio</b:Month>
    <b:YearAccessed>2021</b:YearAccessed>
    <b:MonthAccessed>Mayo</b:MonthAccessed>
    <b:DayAccessed>24</b:DayAccessed>
    <b:URL>https://core.ac.uk/download/pdf/47066441.pdf</b:URL>
    <b:RefOrder>8</b:RefOrder>
  </b:Source>
  <b:Source>
    <b:Tag>Ida09</b:Tag>
    <b:SourceType>Book</b:SourceType>
    <b:Guid>{A6ADEFC5-B7A0-4389-BC8A-C25AB78ADA4E}</b:Guid>
    <b:Title>Gestión del Talento Humano</b:Title>
    <b:Year>2009</b:Year>
    <b:Author>
      <b:Author>
        <b:NameList>
          <b:Person>
            <b:Last>Chiavenato</b:Last>
            <b:First>Idalverto</b:First>
          </b:Person>
        </b:NameList>
      </b:Author>
    </b:Author>
    <b:City>México</b:City>
    <b:Publisher>McGraw Hill</b:Publisher>
    <b:RefOrder>9</b:RefOrder>
  </b:Source>
  <b:Source>
    <b:Tag>Cra17</b:Tag>
    <b:SourceType>DocumentFromInternetSite</b:SourceType>
    <b:Guid>{2878A7B2-C804-4509-BD98-4E66487243B8}</b:Guid>
    <b:Author>
      <b:Author>
        <b:NameList>
          <b:Person>
            <b:Last>Cravero del Sordo</b:Last>
            <b:First>Eleanora</b:First>
          </b:Person>
        </b:NameList>
      </b:Author>
    </b:Author>
    <b:Title>www.disposit.ub.edu</b:Title>
    <b:Year>2017</b:Year>
    <b:Month>Junio</b:Month>
    <b:Day>20</b:Day>
    <b:YearAccessed>2021</b:YearAccessed>
    <b:MonthAccessed>Mayo</b:MonthAccessed>
    <b:DayAccessed>24</b:DayAccessed>
    <b:URL>http://diposit.ub.edu/dspace/bitstream/2445/118482/1/tfm_eleonora_cravero.pdf</b:URL>
    <b:RefOrder>10</b:RefOrder>
  </b:Source>
  <b:Source>
    <b:Tag>Con11</b:Tag>
    <b:SourceType>DocumentFromInternetSite</b:SourceType>
    <b:Guid>{1F2FF04B-576C-4B32-9FEC-1DCFA17AF368}</b:Guid>
    <b:Author>
      <b:Author>
        <b:NameList>
          <b:Person>
            <b:Last>Contento A</b:Last>
            <b:First>Doris</b:First>
          </b:Person>
        </b:NameList>
      </b:Author>
    </b:Author>
    <b:Title>www.iaen.edu.ec</b:Title>
    <b:Year>2011</b:Year>
    <b:YearAccessed>2024</b:YearAccessed>
    <b:MonthAccessed>Mayo</b:MonthAccessed>
    <b:DayAccessed>24</b:DayAccessed>
    <b:URL>https://editorial.iaen.edu.ec/wp-content/uploads/2020/07/Jo%CC%81venes-en-el-mercado-laboral-programa-%E2%80%9CMi-primer-empleo%E2%80%9D-en-la-provincia-de-Loja-Ecuador-2010-2011.pdf</b:URL>
    <b:RefOrder>11</b:RefOrder>
  </b:Source>
  <b:Source>
    <b:Tag>INE215</b:Tag>
    <b:SourceType>DocumentFromInternetSite</b:SourceType>
    <b:Guid>{FB48DF56-8131-4EBC-98FF-F2524324F475}</b:Guid>
    <b:Author>
      <b:Author>
        <b:Corporate>INEC</b:Corporate>
      </b:Author>
    </b:Author>
    <b:Title>www.inec.gob.ec</b:Title>
    <b:Year>2021</b:Year>
    <b:URL>http://redatam.inec.gob.ec/cgibin/RpWebEngine.exe/PortalAction?&amp;MODE=MAIN&amp;BASE=CENEC&amp;MAIN=WebServerMain.inl</b:URL>
    <b:RefOrder>12</b:RefOrder>
  </b:Source>
  <b:Source>
    <b:Tag>MIN212</b:Tag>
    <b:SourceType>DocumentFromInternetSite</b:SourceType>
    <b:Guid>{1B9F2304-2BED-4E19-8797-2BDED68CFAE5}</b:Guid>
    <b:Author>
      <b:Author>
        <b:Corporate>MINEDUC</b:Corporate>
      </b:Author>
    </b:Author>
    <b:Title>www.educacion.gob.ec</b:Title>
    <b:Year>2021</b:Year>
    <b:URL>https://educacion.gob.ec/base-de-datos/</b:URL>
    <b:RefOrder>13</b:RefOrder>
  </b:Source>
  <b:Source>
    <b:Tag>Adr15</b:Tag>
    <b:SourceType>JournalArticle</b:SourceType>
    <b:Guid>{1C193FD1-20B6-4665-ADAA-253F44C7835D}</b:Guid>
    <b:Title>Competencias docentes digitales: propuesta de un perfil</b:Title>
    <b:JournalName>Pixel-Bit. Revista de Medios y Educación</b:JournalName>
    <b:Year>2015</b:Year>
    <b:Pages>235-248</b:Pages>
    <b:Author>
      <b:Author>
        <b:NameList>
          <b:Person>
            <b:Last>Baca</b:Last>
            <b:First>Adriana</b:First>
          </b:Person>
        </b:NameList>
      </b:Author>
    </b:Author>
    <b:Issue>46</b:Issue>
    <b:DOI>http://dx.doi.org/10.12795/pixelbit.2015.i46.15</b:DOI>
    <b:URL>https://www.redalyc.org/pdf/368/36832959015.pdf</b:URL>
    <b:RefOrder>1</b:RefOrder>
  </b:Source>
  <b:Source>
    <b:Tag>Cai17</b:Tag>
    <b:SourceType>Report</b:SourceType>
    <b:Guid>{34CF0AAE-1EFB-4DF2-87B4-52BDD68A50CD}</b:Guid>
    <b:Title>SISTEMA DE GESTIÓN DE SEGURIDAD Y SALUD OCUPACIONAL BASADO EN OHSAS 18001:2007 EN UN HOSPITAL</b:Title>
    <b:Year>2017</b:Year>
    <b:Publisher>Universidad de Guayaquil</b:Publisher>
    <b:City>Guayaquil</b:City>
    <b:Author>
      <b:Author>
        <b:NameList>
          <b:Person>
            <b:Last>Caicedo Cortez</b:Last>
            <b:First>Diego</b:First>
          </b:Person>
          <b:Person>
            <b:Last>Pluas Álvarez</b:Last>
            <b:First>Freddy</b:First>
          </b:Person>
        </b:NameList>
      </b:Author>
    </b:Author>
    <b:RefOrder>2</b:RefOrder>
  </b:Source>
  <b:Source>
    <b:Tag>Mar20</b:Tag>
    <b:SourceType>JournalArticle</b:SourceType>
    <b:Guid>{2B8C3D42-3759-4A5E-BB5C-ECB3CABD2522}</b:Guid>
    <b:Title>DERECHO A LA SALUD EN EL TRABAJO: VULNERACIÓN Y FRAGMENTACIÓN EN SU COMPRENSIÓN Y MATERIALIZACIÓN</b:Title>
    <b:JournalName>Scielo. Hacia la Promoción de la Salud</b:JournalName>
    <b:Year>2020</b:Year>
    <b:Author>
      <b:Author>
        <b:NameList>
          <b:Person>
            <b:Last>Marín Ospina</b:Last>
            <b:First>Yuly </b:First>
          </b:Person>
          <b:Person>
            <b:Last>Higuita Higuita</b:Last>
            <b:First>Yomaira</b:First>
          </b:Person>
          <b:Person>
            <b:Last>Guerra Mazo</b:Last>
            <b:First>Diana</b:First>
          </b:Person>
          <b:Person>
            <b:Last>Gómez Ceballos</b:Last>
            <b:First>Diego</b:First>
          </b:Person>
          <b:Person>
            <b:Last>Soto Velásquez</b:Last>
            <b:First>Mónica</b:First>
          </b:Person>
        </b:NameList>
      </b:Author>
    </b:Author>
    <b:RefOrder>3</b:RefOrder>
  </b:Source>
  <b:Source>
    <b:Tag>Pla16</b:Tag>
    <b:SourceType>Report</b:SourceType>
    <b:Guid>{6D0D9365-00EF-4353-8BF1-1B9141218D17}</b:Guid>
    <b:Title>REDISEÑO DE ESPACIOS INTERIORES EN EL HOSPITAL ISRAEL QUINTERO PAREDES</b:Title>
    <b:Year>2016</b:Year>
    <b:Publisher>Universidad Católica Santiago de Guayaquil</b:Publisher>
    <b:City>Guayaquil</b:City>
    <b:Author>
      <b:Author>
        <b:NameList>
          <b:Person>
            <b:Last>Plaza Bravo</b:Last>
            <b:First>Angela</b:First>
          </b:Person>
        </b:NameList>
      </b:Author>
    </b:Author>
    <b:RefOrder>4</b:RefOrder>
  </b:Source>
  <b:Source>
    <b:Tag>Fun201</b:Tag>
    <b:SourceType>DocumentFromInternetSite</b:SourceType>
    <b:Guid>{0966820A-DF65-4498-8804-DBBE4E8A9084}</b:Guid>
    <b:Author>
      <b:Author>
        <b:Corporate>Fundación para la prevención de riesgos laborales</b:Corporate>
      </b:Author>
    </b:Author>
    <b:Title>Evaluación de riesgos</b:Title>
    <b:Year>2020</b:Year>
    <b:URL>https://riesgoslaborales.saludlaboral.org/portal-preventivo/conceptos-generales-de-la-prl/2-evaluacion-de-riesgos/</b:URL>
    <b:RefOrder>5</b:RefOrder>
  </b:Source>
  <b:Source>
    <b:Tag>MSP18</b:Tag>
    <b:SourceType>DocumentFromInternetSite</b:SourceType>
    <b:Guid>{DEF018C8-859F-4068-9CA4-54B3D51A917C}</b:Guid>
    <b:Author>
      <b:Author>
        <b:Corporate>MSP</b:Corporate>
      </b:Author>
    </b:Author>
    <b:InternetSiteTitle>Calificación de la discapacidad</b:InternetSiteTitle>
    <b:Year>2018</b:Year>
    <b:URL>https://www.salud.gob.ec/wp-content/uploads/downloads/2018/12/Manual_Calificaci%C3%B3n-de_Discapacidad_2018.pdf</b:URL>
    <b:YearAccessed>2021</b:YearAccessed>
    <b:MonthAccessed>Octubre</b:MonthAccessed>
    <b:DayAccessed>15</b:DayAccessed>
    <b:Title>Manual de Clasificación de la Discapacidad</b:Title>
    <b:RefOrder>1</b:RefOrder>
  </b:Source>
  <b:Source>
    <b:Tag>Con17</b:Tag>
    <b:SourceType>DocumentFromInternetSite</b:SourceType>
    <b:Guid>{44251B3A-0273-4498-9E80-C0B2EDAC1974}</b:Guid>
    <b:Author>
      <b:Author>
        <b:Corporate>Conadis</b:Corporate>
      </b:Author>
    </b:Author>
    <b:InternetSiteTitle>Guía para atención con personas con discapacidad en la Salud Rural</b:InternetSiteTitle>
    <b:Year>2017</b:Year>
    <b:URL>https://familiavance.com/wp-content/uploads/2021/02/CONADIS-2017-Guia-para-atencion-de-personas-con-discapacidad-en-la-salud-rural_compressed_compressed_reduce.pdf</b:URL>
    <b:YearAccessed>2021</b:YearAccessed>
    <b:MonthAccessed>10</b:MonthAccessed>
    <b:DayAccessed>15</b:DayAccessed>
    <b:RefOrder>2</b:RefOrder>
  </b:Source>
  <b:Source>
    <b:Tag>Del19</b:Tag>
    <b:SourceType>DocumentFromInternetSite</b:SourceType>
    <b:Guid>{D04E8C26-6CCD-4D8A-A050-D0BADFEB0528}</b:Guid>
    <b:Author>
      <b:Author>
        <b:Corporate>Delgado M, Chávez J, Sancan M</b:Corporate>
      </b:Author>
      <b:Editor>
        <b:NameList>
          <b:Person>
            <b:Last>Dialnet</b:Last>
          </b:Person>
        </b:NameList>
      </b:Editor>
    </b:Author>
    <b:InternetSiteTitle>Importancia de la evaluación clínica de la discapacidad</b:InternetSiteTitle>
    <b:Year>2019</b:Year>
    <b:URL>https://dialnet.unirioja.es/servlet/articulo?codigo=7154254</b:URL>
    <b:YearAccessed>2021</b:YearAccessed>
    <b:MonthAccessed>10</b:MonthAccessed>
    <b:DayAccessed>15</b:DayAccessed>
    <b:Title>Importancia de la Evaluación de la Discapacida</b:Title>
    <b:JournalName>Dialnet</b:JournalName>
    <b:RefOrder>3</b:RefOrder>
  </b:Source>
  <b:Source>
    <b:Tag>Ern17</b:Tag>
    <b:SourceType>InternetSite</b:SourceType>
    <b:Guid>{6B141B07-491F-4556-A120-FE0C0BA8DB97}</b:Guid>
    <b:Author>
      <b:Author>
        <b:NameList>
          <b:Person>
            <b:Last>Cutillas</b:Last>
            <b:First>Ernesto</b:First>
          </b:Person>
        </b:NameList>
      </b:Author>
    </b:Author>
    <b:InternetSiteTitle>Distribución mundial de la población con discapacidades en relación con los patrones geográficos del desarrollo humano</b:InternetSiteTitle>
    <b:Year>2017</b:Year>
    <b:URL>https://rua.ua.es/dspace/bitstream/10045/61767/1/2017_Cutillas_Documents-dAn%c3%a0lisi-Geografica.pdf</b:URL>
    <b:YearAccessed>2021</b:YearAccessed>
    <b:MonthAccessed>10</b:MonthAccessed>
    <b:DayAccessed>15</b:DayAccessed>
    <b:RefOrder>4</b:RefOrder>
  </b:Source>
  <b:Source>
    <b:Tag>Con21</b:Tag>
    <b:SourceType>InternetSite</b:SourceType>
    <b:Guid>{72027A59-D672-40B1-BC5C-3C5ECDF26D36}</b:Guid>
    <b:Author>
      <b:Author>
        <b:Corporate>Consejo Nacional para la Igualdad de Discapacidades</b:Corporate>
      </b:Author>
    </b:Author>
    <b:InternetSiteTitle>Estadísticas de discapacidad</b:InternetSiteTitle>
    <b:Year>2021</b:Year>
    <b:URL>https://www.consejodiscapacidades.gob.ec/estadisticas-de-discapacidad/</b:URL>
    <b:YearAccessed>2021</b:YearAccessed>
    <b:MonthAccessed>10</b:MonthAccessed>
    <b:DayAccessed>16</b:DayAccessed>
    <b:RefOrder>5</b:RefOrder>
  </b:Source>
  <b:Source>
    <b:Tag>Gon16</b:Tag>
    <b:SourceType>DocumentFromInternetSite</b:SourceType>
    <b:Guid>{580F0904-4A11-447B-95E5-CD7BA3A518E3}</b:Guid>
    <b:Author>
      <b:Author>
        <b:Corporate>González M, Monroy A</b:Corporate>
      </b:Author>
    </b:Author>
    <b:InternetSiteTitle>Proceso enfermero tercera generación</b:InternetSiteTitle>
    <b:Year>2016</b:Year>
    <b:URL>https://www.elsevier.es/es-revista-enfermeria-universitaria-400-articulo-proceso-enfermero-tercera-generacion-S1665706316000270</b:URL>
    <b:YearAccessed>2021</b:YearAccessed>
    <b:MonthAccessed>10</b:MonthAccessed>
    <b:DayAccessed>16</b:DayAccessed>
    <b:Title>Proceso Enfermero de tercera generación</b:Title>
    <b:JournalName>Elsevier</b:JournalName>
    <b:RefOrder>6</b:RefOrder>
  </b:Source>
  <b:Source>
    <b:Tag>Sán18</b:Tag>
    <b:SourceType>InternetSite</b:SourceType>
    <b:Guid>{9B1321DD-861A-42C3-A762-ADFBF5AD56D0}</b:Guid>
    <b:Author>
      <b:Author>
        <b:Corporate>Sánchez J, Garzón N, Badillo K, Bernal D.</b:Corporate>
      </b:Author>
    </b:Author>
    <b:InternetSiteTitle>Apreciaciones alrededor de la valoración de enfermería: revisión integrativa</b:InternetSiteTitle>
    <b:Year>2018</b:Year>
    <b:URL>https://coloquioenfermeria2018.sld.cu/index.php/coloquio/2018/paper/viewFile/1159/473</b:URL>
    <b:YearAccessed>2021</b:YearAccessed>
    <b:MonthAccessed>10</b:MonthAccessed>
    <b:DayAccessed>17</b:DayAccessed>
    <b:RefOrder>7</b:RefOrder>
  </b:Source>
  <b:Source>
    <b:Tag>Val17</b:Tag>
    <b:SourceType>InternetSite</b:SourceType>
    <b:Guid>{81613F86-ADC3-49CC-84F6-2D67354CB896}</b:Guid>
    <b:Author>
      <b:Author>
        <b:Corporate>Valdiviezo M, Estrada T, Salazar Y, Rivera E, Betancourt C.</b:Corporate>
      </b:Author>
    </b:Author>
    <b:InternetSiteTitle>Virginia Henderson y Jean Watson: adulto mayor con deterioro de la eliminación urinaria y discapacidad visual</b:InternetSiteTitle>
    <b:Year>2017</b:Year>
    <b:URL>https://eugenioespejo.unach.edu.ec/index.php/EE/article/view/18/177</b:URL>
    <b:YearAccessed>2021</b:YearAccessed>
    <b:MonthAccessed>10</b:MonthAccessed>
    <b:DayAccessed>17</b:DayAccessed>
    <b:RefOrder>8</b:RefOrder>
  </b:Source>
  <b:Source>
    <b:Tag>Nar18</b:Tag>
    <b:SourceType>InternetSite</b:SourceType>
    <b:Guid>{AF1CAD06-B388-40D5-9BB0-243986607484}</b:Guid>
    <b:Author>
      <b:Author>
        <b:Corporate>Naranjo Y, Jiménez N, González L.</b:Corporate>
      </b:Author>
    </b:Author>
    <b:InternetSiteTitle>Análisis de algunas teorías de enfermería y su vigencia de aplicación en Cuba</b:InternetSiteTitle>
    <b:Year>2018</b:Year>
    <b:URL>http://scielo.sld.cu/scielo.php?script=sci_arttext&amp;pid=S1025-02552018000200013</b:URL>
    <b:YearAccessed>2021</b:YearAccessed>
    <b:MonthAccessed>10</b:MonthAccessed>
    <b:DayAccessed>17</b:DayAccessed>
    <b:RefOrder>9</b:RefOrder>
  </b:Source>
  <b:Source>
    <b:Tag>Moy16</b:Tag>
    <b:SourceType>InternetSite</b:SourceType>
    <b:Guid>{CF31FA84-E390-47B0-AC6C-78BCDFD038CE}</b:Guid>
    <b:Author>
      <b:Author>
        <b:NameList>
          <b:Person>
            <b:Last>Moya</b:Last>
            <b:First>G</b:First>
          </b:Person>
        </b:NameList>
      </b:Author>
    </b:Author>
    <b:InternetSiteTitle>Derechos de los pacientes con enfermedades que asocien con discapacidad: marco legal</b:InternetSiteTitle>
    <b:Year>2016</b:Year>
    <b:URL>http://wwww.repositoriocdpd.net:8080/bitstream/handle/123456789/2000/Art_MoyaG_Derechodelaspersonas_2016.pdf?sequence=1</b:URL>
    <b:YearAccessed>2021</b:YearAccessed>
    <b:MonthAccessed>10</b:MonthAccessed>
    <b:DayAccessed>17</b:DayAccessed>
    <b:RefOrder>10</b:RefOrder>
  </b:Source>
  <b:Source>
    <b:Tag>Guz18</b:Tag>
    <b:SourceType>DocumentFromInternetSite</b:SourceType>
    <b:Guid>{05C3688C-2C80-4C2F-9139-D02558A1801C}</b:Guid>
    <b:Author>
      <b:Author>
        <b:Corporate>Miranda K., Rodríguez Y., Cajachagua M.</b:Corporate>
      </b:Author>
      <b:Editor>
        <b:NameList>
          <b:Person>
            <b:Last>Scielo</b:Last>
            <b:First>Revista</b:First>
          </b:Person>
        </b:NameList>
      </b:Editor>
    </b:Author>
    <b:InternetSiteTitle>Proceso de atención de enfermería como instrumento del cuidado, significado para estudiantes del último curso.</b:InternetSiteTitle>
    <b:Year>2020</b:Year>
    <b:URL>http://www.scielo.org.mx/scielo.php?pid=S1665-70632019000400374&amp;script=sci_arttext</b:URL>
    <b:YearAccessed>2021</b:YearAccessed>
    <b:MonthAccessed>10</b:MonthAccessed>
    <b:DayAccessed>17</b:DayAccessed>
    <b:RefOrder>11</b:RefOrder>
  </b:Source>
  <b:Source>
    <b:Tag>MarcadorDePosición4</b:Tag>
    <b:SourceType>InternetSite</b:SourceType>
    <b:Guid>{DDD6BB3C-7115-4C74-AF81-8CCB18F9EDEE}</b:Guid>
    <b:Author>
      <b:Author>
        <b:NameList>
          <b:Person>
            <b:Last>P.</b:Last>
            <b:First>Torres</b:First>
          </b:Person>
        </b:NameList>
      </b:Author>
      <b:Editor>
        <b:NameList>
          <b:Person>
            <b:Last>Atenas</b:Last>
            <b:First>Revista</b:First>
          </b:Person>
        </b:NameList>
      </b:Editor>
    </b:Author>
    <b:InternetSiteTitle>Acerca de los enfoques cuantitativo y cualitativo en la investigación educativa cubana actual</b:InternetSiteTitle>
    <b:Year>2016</b:Year>
    <b:URL>http://atenas.umcc.cu/index.php/atenas/article/view/194/364</b:URL>
    <b:YearAccessed>2021</b:YearAccessed>
    <b:MonthAccessed>10</b:MonthAccessed>
    <b:DayAccessed>19</b:DayAccessed>
    <b:RefOrder>12</b:RefOrder>
  </b:Source>
  <b:Source>
    <b:Tag>MarcadorDePosición5</b:Tag>
    <b:SourceType>InternetSite</b:SourceType>
    <b:Guid>{3101ECB8-438A-4EAC-9F05-497237735CA5}</b:Guid>
    <b:Author>
      <b:Author>
        <b:NameList>
          <b:Person>
            <b:Last>Corona</b:Last>
            <b:First>J.</b:First>
          </b:Person>
        </b:NameList>
      </b:Author>
    </b:Author>
    <b:InternetSiteTitle>Apuntes sobre métodos de investigación</b:InternetSiteTitle>
    <b:Year>2016</b:Year>
    <b:URL>http://scielo.sld.cu/pdf/ms/v14n1/ms16114.pdf</b:URL>
    <b:YearAccessed>2021</b:YearAccessed>
    <b:MonthAccessed>10</b:MonthAccessed>
    <b:DayAccessed>19</b:DayAccessed>
    <b:RefOrder>13</b:RefOrder>
  </b:Source>
  <b:Source>
    <b:Tag>Tua17</b:Tag>
    <b:SourceType>InternetSite</b:SourceType>
    <b:Guid>{D767D4D7-44F5-4E1B-8899-6F71FDFDA267}</b:Guid>
    <b:Author>
      <b:Author>
        <b:Corporate>Tuapanta J, Duque M, Mena A.</b:Corporate>
      </b:Author>
    </b:Author>
    <b:InternetSiteTitle>Alfa de Cronbach para validar un cuestionario de uso de Tics en docentes universitarios</b:InternetSiteTitle>
    <b:Year>2017</b:Year>
    <b:URL>https://www.researchgate.net/profile/Miguel-Duque-3/publication/331332628_ALFA_DE_CRONBACH_para_validar_un_cuestionario_de_uso_de_TIC_en_docentes_universitarios/links/5c746a34458515831f6fe123/ALFA-DE-CRONBACH-para-validar-un-cuestionario-de-uso-de-TIC-en-</b:URL>
    <b:YearAccessed>2021</b:YearAccessed>
    <b:MonthAccessed>10</b:MonthAccessed>
    <b:DayAccessed>20</b:DayAccessed>
    <b:RefOrder>14</b:RefOrder>
  </b:Source>
  <b:Source>
    <b:Tag>Bar16</b:Tag>
    <b:SourceType>InternetSite</b:SourceType>
    <b:Guid>{866BFC56-A67B-4358-972E-35A0F5328A92}</b:Guid>
    <b:Author>
      <b:Author>
        <b:Corporate>Barrios I, Anido V, Morera M.</b:Corporate>
      </b:Author>
    </b:Author>
    <b:InternetSiteTitle>Declaración de Helsinki: cambios y éxegesis</b:InternetSiteTitle>
    <b:Year>2016</b:Year>
    <b:URL>https://www.medigraphic.com/pdfs/revcubsalpub/csp-2016/csp161n.pdf</b:URL>
    <b:YearAccessed>2021</b:YearAccessed>
    <b:MonthAccessed>10</b:MonthAccessed>
    <b:DayAccessed>20</b:DayAccessed>
    <b:RefOrder>15</b:RefOrder>
  </b:Source>
  <b:Source>
    <b:Tag>ALó19</b:Tag>
    <b:SourceType>DocumentFromInternetSite</b:SourceType>
    <b:Guid>{711D5DF6-C97C-458D-B46A-042E287F13AB}</b:Guid>
    <b:Author>
      <b:Author>
        <b:NameList>
          <b:Person>
            <b:Last>López</b:Last>
            <b:First>Almudena</b:First>
          </b:Person>
        </b:NameList>
      </b:Author>
    </b:Author>
    <b:InternetSiteTitle>Implementación de un cuaderno de comunicación, aumentativa, alternativa, basado en las 14 necesidades de Virginia Henderson para pacientes intubados inconscientes.</b:InternetSiteTitle>
    <b:Year>2019</b:Year>
    <b:URL>https://riull.ull.es/xmlui/bitstream/handle/915/15130/Implementacion%20de%20un%20Cuaderno%20de%20comunicacion%20aumentativaalternativa%20basado%20en%20las%2014%20necesidades%20de%20Virginia%20Henderson%20para%20pacientes%20intubados%20conscientes.pdf?sequ</b:URL>
    <b:YearAccessed>2021</b:YearAccessed>
    <b:MonthAccessed>10</b:MonthAccessed>
    <b:DayAccessed>25</b:DayAccessed>
    <b:RefOrder>16</b:RefOrder>
  </b:Source>
  <b:Source>
    <b:Tag>Cor161</b:Tag>
    <b:SourceType>InternetSite</b:SourceType>
    <b:Guid>{2225A786-D040-4251-89F4-38A9974BE085}</b:Guid>
    <b:Author>
      <b:Author>
        <b:Corporate>Corredor L. Carrillo M.</b:Corporate>
      </b:Author>
    </b:Author>
    <b:InternetSiteTitle>Validez y confiabilidad del instumento de la calidad de vida de Betty Ferrel en español, persona con enfermedad crónica.</b:InternetSiteTitle>
    <b:Year>2016</b:Year>
    <b:URL>https://revistas.javeriana.edu.co/index.php/imagenydesarrollo/article/view/12041/12382</b:URL>
    <b:YearAccessed>2021</b:YearAccessed>
    <b:MonthAccessed>10</b:MonthAccessed>
    <b:DayAccessed>25</b:DayAccessed>
    <b:RefOrder>17</b:RefOrder>
  </b:Source>
  <b:Source>
    <b:Tag>Man18</b:Tag>
    <b:SourceType>InternetSite</b:SourceType>
    <b:Guid>{1776581B-DD3C-4E75-A77A-629D31F275FB}</b:Guid>
    <b:Author>
      <b:Author>
        <b:Corporate>Manterola C., Grande L. , Otzen T., García N., Salazar P., Quiroz G.</b:Corporate>
      </b:Author>
    </b:Author>
    <b:InternetSiteTitle>Confiabilidad, precisión o reproductibilidad de las mediciones. Métodos de valoración, utilidad y aplicaciones en la práctica clínica</b:InternetSiteTitle>
    <b:Year>2018</b:Year>
    <b:URL>https://scielo.conicyt.cl/scielo.php?pid=S0716-10182018000600680&amp;script=sci_arttext&amp;tlng=en</b:URL>
    <b:YearAccessed>2021</b:YearAccessed>
    <b:MonthAccessed>10</b:MonthAccessed>
    <b:DayAccessed>25</b:DayAccessed>
    <b:RefOrder>18</b:RefOrder>
  </b:Source>
  <b:Source>
    <b:Tag>Gut19</b:Tag>
    <b:SourceType>InternetSite</b:SourceType>
    <b:Guid>{217F094E-A97C-40BA-927F-DC775AB45CB3}</b:Guid>
    <b:Author>
      <b:Author>
        <b:Corporate>Gutiérrez M., Hernández R., Jenaro C.</b:Corporate>
      </b:Author>
    </b:Author>
    <b:InternetSiteTitle>Escala de Evaluación de la Inclusión (EEI) para centros y servicios para personas con discapacidad</b:InternetSiteTitle>
    <b:Year>2019</b:Year>
    <b:URL>https://dialnet.unirioja.es/servlet/articulo?codigo=7017827</b:URL>
    <b:YearAccessed>2021</b:YearAccessed>
    <b:MonthAccessed>10</b:MonthAccessed>
    <b:DayAccessed>25</b:DayAccessed>
    <b:RefOrder>19</b:RefOrder>
  </b:Source>
  <b:Source>
    <b:Tag>Các16</b:Tag>
    <b:SourceType>DocumentFromInternetSite</b:SourceType>
    <b:Guid>{57CA7EE7-D3EB-4C87-B7AD-7949D3A2F69F}</b:Guid>
    <b:Author>
      <b:Author>
        <b:Corporate>Rodríguez A., Jara P., Pereira D., Machuca L.</b:Corporate>
      </b:Author>
      <b:Editor>
        <b:NameList>
          <b:Person>
            <b:Last>Cuidarte</b:Last>
            <b:First>Revista</b:First>
          </b:Person>
        </b:NameList>
      </b:Editor>
    </b:Author>
    <b:InternetSiteTitle>Adaptación transcultural y validación de un cuestionario de cuidado humanizado en enfermería para una muestra de población Chilena</b:InternetSiteTitle>
    <b:Year>2018</b:Year>
    <b:URL>http://www.scielo.org.co/pdf/cuid/v9n2/2216-0973-cuid-9-2-2245.pdf</b:URL>
    <b:YearAccessed>2021</b:YearAccessed>
    <b:MonthAccessed>10</b:MonthAccessed>
    <b:DayAccessed>25</b:DayAccessed>
    <b:RefOrder>20</b:RefOrder>
  </b:Source>
  <b:Source>
    <b:Tag>Pas20</b:Tag>
    <b:SourceType>DocumentFromInternetSite</b:SourceType>
    <b:Guid>{108C612A-53C0-4D3A-9CB5-F5994A9E922B}</b:Guid>
    <b:Author>
      <b:Author>
        <b:Corporate>Pastuña R,. Jara P.</b:Corporate>
      </b:Author>
      <b:Editor>
        <b:NameList>
          <b:Person>
            <b:Last>Enfermería Investiga</b:Last>
            <b:First>Investigación,</b:First>
            <b:Middle>Vinculación, Docencia y Gestión</b:Middle>
          </b:Person>
        </b:NameList>
      </b:Editor>
    </b:Author>
    <b:InternetSiteTitle>Búsqueda de la autonomía de enfermería desde la mirada de Virginia Henderson</b:InternetSiteTitle>
    <b:Year>2020</b:Year>
    <b:URL>https://revistas.uta.edu.ec/erevista/index.php/enfi/article/view/975/906</b:URL>
    <b:YearAccessed>2021</b:YearAccessed>
    <b:MonthAccessed>10</b:MonthAccessed>
    <b:DayAccessed>25</b:DayAccessed>
    <b:Month>11</b:Month>
    <b:Publisher>Enfermería Investiga, Investigación, Vinculación, Docencia y Gestión</b:Publisher>
    <b:Day>1</b:Day>
    <b:RefOrder>21</b:RefOrder>
  </b:Source>
  <b:Source>
    <b:Tag>Esp201</b:Tag>
    <b:SourceType>JournalArticle</b:SourceType>
    <b:Guid>{534462C5-98CE-4BB3-A197-F1A2A0AF5137}</b:Guid>
    <b:Title>Guía de Retroalimentación Para los Niveles y Modalidades de la Educación Básica en la Educación a Distancia de la Región Pasco</b:Title>
    <b:Year>2020</b:Year>
    <b:Author>
      <b:Author>
        <b:NameList>
          <b:Person>
            <b:Last>Espinoza</b:Last>
            <b:First>J</b:First>
          </b:Person>
          <b:Person>
            <b:Last>Ramos</b:Last>
            <b:First>H</b:First>
          </b:Person>
          <b:Person>
            <b:Last>Vargas</b:Last>
            <b:First>S</b:First>
          </b:Person>
          <b:Person>
            <b:Last>et al</b:Last>
          </b:Person>
        </b:NameList>
      </b:Author>
    </b:Author>
    <b:JournalName>Dirección Regional de Educación de Pasco/ Dirección de Gestión Pedagógica. Ministerio de Educación del Perú (MINEDU). Obra Colectiva.1ra. Edición. https://drepasco.gob.pe/wp-content/uploads/2020/08/gu%C3%ADa_retroalimentaci%C3%B3n_distancia.pdf</b:JournalName>
    <b:Pages>pp.73</b:Pages>
    <b:RefOrder>1</b:RefOrder>
  </b:Source>
  <b:Source>
    <b:Tag>Ell18</b:Tag>
    <b:SourceType>JournalArticle</b:SourceType>
    <b:Guid>{989298FE-17BA-4976-82BE-DB6F81698E1F}</b:Guid>
    <b:Title>Patterns in the form of formative feedback and student response</b:Title>
    <b:Year>2018</b:Year>
    <b:Author>
      <b:Author>
        <b:NameList>
          <b:Person>
            <b:Last>Ellegaard</b:Last>
            <b:First>M</b:First>
          </b:Person>
          <b:Person>
            <b:Last>Damsgaard</b:Last>
            <b:First>L</b:First>
          </b:Person>
          <b:Person>
            <b:Last>Bruun</b:Last>
            <b:First>J</b:First>
          </b:Person>
          <b:Person>
            <b:Last>Johannse</b:Last>
            <b:First>B</b:First>
          </b:Person>
        </b:NameList>
      </b:Author>
    </b:Author>
    <b:JournalName>Assessment &amp; Evaluation in Higher Education, 43: 5. DOI: 10.1080 / 02602938.2017.1403564 </b:JournalName>
    <b:Pages>pp.727-744 </b:Pages>
    <b:RefOrder>2</b:RefOrder>
  </b:Source>
  <b:Source>
    <b:Tag>Can17</b:Tag>
    <b:SourceType>JournalArticle</b:SourceType>
    <b:Guid>{5C33EBAC-0D46-4C20-B7A1-EBA3793E568B}</b:Guid>
    <b:Title>La Retroalimentación: La Clave para una Evaluación Orientada al Aprendizaje</b:Title>
    <b:JournalName>Revista de Currículum y Formación de Profesorado, 21 (2). https://www.redalyc.org/articulo.oa?id=56752038009</b:JournalName>
    <b:Year>2017</b:Year>
    <b:Pages>pp.149-170</b:Pages>
    <b:Author>
      <b:Author>
        <b:NameList>
          <b:Person>
            <b:Last>Canabal</b:Last>
            <b:First>C</b:First>
          </b:Person>
          <b:Person>
            <b:Last>Margalef</b:Last>
            <b:First>L</b:First>
          </b:Person>
        </b:NameList>
      </b:Author>
    </b:Author>
    <b:RefOrder>3</b:RefOrder>
  </b:Source>
  <b:Source>
    <b:Tag>MarcadorDePosición6</b:Tag>
    <b:SourceType>JournalArticle</b:SourceType>
    <b:Guid>{6B7270A0-4845-4A24-98C0-7C0B5822A148}</b:Guid>
    <b:Title>Concepciones de profesores sobre retroalimentación: una revisión de la literatura</b:Title>
    <b:Year>2017</b:Year>
    <b:Author>
      <b:Author>
        <b:NameList>
          <b:Person>
            <b:Last>Contreras</b:Last>
            <b:First>G</b:First>
          </b:Person>
          <b:Person>
            <b:Last>Zuñiga</b:Last>
            <b:First>C</b:First>
          </b:Person>
        </b:NameList>
      </b:Author>
    </b:Author>
    <b:JournalName>http://repositorio.unab.cl/xmlui/bitstream/handle/ria/4277/ContrerasPerez_G_Concepciones_de_profesores.pdf?sequence=1&amp;isAllowed=y</b:JournalName>
    <b:RefOrder>4</b:RefOrder>
  </b:Source>
  <b:Source>
    <b:Tag>Ram83</b:Tag>
    <b:SourceType>JournalArticle</b:SourceType>
    <b:Guid>{1E071277-CF94-41FB-99D4-27418664E460}</b:Guid>
    <b:Title>On the definition of feedback</b:Title>
    <b:JournalName>Behavioral Science, 28</b:JournalName>
    <b:Year>1983</b:Year>
    <b:Pages>pp.4-13</b:Pages>
    <b:Author>
      <b:Author>
        <b:NameList>
          <b:Person>
            <b:Last>Ramaprasad</b:Last>
            <b:First>A</b:First>
          </b:Person>
        </b:NameList>
      </b:Author>
    </b:Author>
    <b:RefOrder>5</b:RefOrder>
  </b:Source>
  <b:Source>
    <b:Tag>Esp21</b:Tag>
    <b:SourceType>JournalArticle</b:SourceType>
    <b:Guid>{7115BBBB-8F2B-419B-9598-799898B1F195}</b:Guid>
    <b:Title>Importancia de la retroalimentación formativa en el proceso de enseñanza-aprendizaje</b:Title>
    <b:JournalName>Revista Universidad y Sociedad. Vol.13. Nro.4. Cienfuegos, Cuba. http://scielo.sld.cu/scielo.php?script=sci_arttext&amp;pid=S2218-36202021000400389#B4</b:JournalName>
    <b:Year>2021</b:Year>
    <b:Pages>pp.1-18</b:Pages>
    <b:Author>
      <b:Author>
        <b:NameList>
          <b:Person>
            <b:Last>Espinoza</b:Last>
            <b:First>E</b:First>
          </b:Person>
        </b:NameList>
      </b:Author>
    </b:Author>
    <b:RefOrder>6</b:RefOrder>
  </b:Source>
  <b:Source>
    <b:Tag>MIN17</b:Tag>
    <b:SourceType>JournalArticle</b:SourceType>
    <b:Guid>{A2238A38-EEED-452B-948A-E0C361A9D122}</b:Guid>
    <b:Author>
      <b:Author>
        <b:Corporate>MINEDU</b:Corporate>
      </b:Author>
    </b:Author>
    <b:Title>Currículo Nacional de la Educación Básica</b:Title>
    <b:JournalName>Ministerio de Educación (MINEDU).Biblioteca Nacional del Perú</b:JournalName>
    <b:Year>2017</b:Year>
    <b:RefOrder>7</b:RefOrder>
  </b:Source>
  <b:Source>
    <b:Tag>Loz14</b:Tag>
    <b:SourceType>JournalArticle</b:SourceType>
    <b:Guid>{91EAE12C-7394-4039-99C9-1D9985D53652}</b:Guid>
    <b:Title>Retroalimentación formativa para estudiantes de educación a distancia. RIED</b:Title>
    <b:Year>2014</b:Year>
    <b:Author>
      <b:Author>
        <b:NameList>
          <b:Person>
            <b:Last>Lozano</b:Last>
            <b:First>F</b:First>
          </b:Person>
          <b:Person>
            <b:Last>Tamez</b:Last>
            <b:First>A</b:First>
          </b:Person>
        </b:NameList>
      </b:Author>
    </b:Author>
    <b:JournalName>Revista Iberoamericana de Educación a Distancia, 17 (2). https://core.ac.uk/download/pdf/193279131.pdf</b:JournalName>
    <b:Pages>pp. 197-221</b:Pages>
    <b:RefOrder>8</b:RefOrder>
  </b:Source>
  <b:Source>
    <b:Tag>MarcadorDePosición7</b:Tag>
    <b:SourceType>JournalArticle</b:SourceType>
    <b:Guid>{8E7BEB05-706E-408E-B251-2A37A781A49C}</b:Guid>
    <b:Author>
      <b:Author>
        <b:Corporate>MINEDU</b:Corporate>
      </b:Author>
    </b:Author>
    <b:Title>Documento Normativo: Disposiciones para las Instituciones Educativas Públicas de Educación Básica Regular y Educación Básica Alternativa que prestan el servicio educativo a estudiantes matriculados con vacantes semipresenciales. R.V.M. 085-2021- MINEDU</b:Title>
    <b:JournalName>Ministerio de Educación (MINEDU), Lima, Perú. https://cdn.www.gob.pe/uploads/document/file/1749880/RVM%20N%C2%B0%20085-2021-MINEDU.pdf.pdf</b:JournalName>
    <b:Year>2021</b:Year>
    <b:RefOrder>9</b:RefOrder>
  </b:Source>
  <b:Source>
    <b:Tag>MIN20</b:Tag>
    <b:SourceType>JournalArticle</b:SourceType>
    <b:Guid>{004464D4-C140-40FB-9DDA-847D8CCFB64B}</b:Guid>
    <b:Author>
      <b:Author>
        <b:Corporate>MINEDU</b:Corporate>
      </b:Author>
    </b:Author>
    <b:Title>Documento Normativo: Orientaciones para el Desarrollo del Año Escolar 2021 en Instituciones Educativas y Programas Educativos de la Educación Básica. R.V.M. 273-2020-MINEDU. Lima, Perú.</b:Title>
    <b:JournalName>Ministerio de Educación (MINEDU), Lima, Perú.https://cdn.www.gob.pe/uploads/document/file/1486918/RVM%20N%C2%B0%20273-2020-MINEDU.pdf.pdf</b:JournalName>
    <b:Year>2020</b:Year>
    <b:RefOrder>10</b:RefOrder>
  </b:Source>
  <b:Source>
    <b:Tag>OCD181</b:Tag>
    <b:SourceType>JournalArticle</b:SourceType>
    <b:Guid>{D6D0FA89-D546-4CAB-A2A0-C7CFABD54799}</b:Guid>
    <b:Author>
      <b:Author>
        <b:Corporate>OCDE</b:Corporate>
      </b:Author>
    </b:Author>
    <b:Title>What Students Know and Can Do</b:Title>
    <b:JournalName>Organización para la Cooperación y el Desarrollo Económico (OCDE)/ Programa para la Evaluación Internacional de Estudiantes (PISA). Publishing, Paris. Volumen Ihttps://www.oecd-ilibrary.org/education/pisa-2018-results-volume-i_5f07c754-en</b:JournalName>
    <b:Year>2018</b:Year>
    <b:RefOrder>11</b:RefOrder>
  </b:Source>
  <b:Source>
    <b:Tag>Her149</b:Tag>
    <b:SourceType>Book</b:SourceType>
    <b:Guid>{6059C848-3CB1-41B0-8780-6F042CC9A39C}</b:Guid>
    <b:Title>Metodología de la Investigación</b:Title>
    <b:Year>2014</b:Year>
    <b:City>México</b:City>
    <b:Publisher>McGraw-Hill</b:Publisher>
    <b:Author>
      <b:Author>
        <b:NameList>
          <b:Person>
            <b:Last>Hernández</b:Last>
            <b:First>R</b:First>
          </b:Person>
          <b:Person>
            <b:Last>Fernández</b:Last>
            <b:First>C</b:First>
          </b:Person>
          <b:Person>
            <b:Last>Baptista</b:Last>
            <b:First>P</b:First>
          </b:Person>
        </b:NameList>
      </b:Author>
    </b:Author>
    <b:RefOrder>12</b:RefOrder>
  </b:Source>
  <b:Source>
    <b:Tag>Arg16</b:Tag>
    <b:SourceType>JournalArticle</b:SourceType>
    <b:Guid>{1CD37F80-F1C8-48DB-88CC-3F8CF6823BD5}</b:Guid>
    <b:Author>
      <b:Author>
        <b:NameList>
          <b:Person>
            <b:Last>Argibay</b:Last>
            <b:First>J.</b:First>
          </b:Person>
        </b:NameList>
      </b:Author>
    </b:Author>
    <b:Title>The sample in quantitative research</b:Title>
    <b:JournalName>Subjetividad y procesos cognitivos</b:JournalName>
    <b:Year>2016</b:Year>
    <b:Pages>pp.13-29</b:Pages>
    <b:RefOrder>13</b:RefOrder>
  </b:Source>
  <b:Source>
    <b:Tag>MarcadorDePosición8</b:Tag>
    <b:SourceType>Book</b:SourceType>
    <b:Guid>{6A54A817-594D-4338-8F01-3169F635B293}</b:Guid>
    <b:Title>Metodología de la Investigación</b:Title>
    <b:Year>2017</b:Year>
    <b:Author>
      <b:Author>
        <b:NameList>
          <b:Person>
            <b:Last>Baena</b:Last>
            <b:First>G.</b:First>
          </b:Person>
        </b:NameList>
      </b:Author>
    </b:Author>
    <b:City>México</b:City>
    <b:Publisher>PATRIA</b:Publisher>
    <b:RefOrder>14</b:RefOrder>
  </b:Source>
  <b:Source>
    <b:Tag>Gal17</b:Tag>
    <b:SourceType>Misc</b:SourceType>
    <b:Guid>{0EE98A6B-B646-40BB-AA3D-09D2E8B80DA0}</b:Guid>
    <b:Author>
      <b:Author>
        <b:NameList>
          <b:Person>
            <b:Last>Gallardo</b:Last>
            <b:First>E.</b:First>
          </b:Person>
        </b:NameList>
      </b:Author>
    </b:Author>
    <b:Title>Metodología de la investigación</b:Title>
    <b:Year>2017</b:Year>
    <b:City>Huancayo</b:City>
    <b:Publisher>CONTINENTAL</b:Publisher>
    <b:PublicationTitle>Universidad Continental</b:PublicationTitle>
    <b:Month>julio</b:Month>
    <b:Day>15</b:Day>
    <b:StateProvince>Junín</b:StateProvince>
    <b:CountryRegion>Perú </b:CountryRegion>
    <b:RefOrder>15</b:RefOrder>
  </b:Source>
  <b:Source>
    <b:Tag>Esc082</b:Tag>
    <b:SourceType>JournalArticle</b:SourceType>
    <b:Guid>{5424516F-B6BA-4FD6-82F9-078EE12661C8}</b:Guid>
    <b:Title>Validez de Contenido y Juicio de Expertos: Una Aproximación a su Utilización</b:Title>
    <b:JournalName>Avances en medición, 6</b:JournalName>
    <b:Year>2008</b:Year>
    <b:Pages>pp.27-36</b:Pages>
    <b:Author>
      <b:Author>
        <b:NameList>
          <b:Person>
            <b:Last>Escobar</b:Last>
            <b:First>J</b:First>
          </b:Person>
          <b:Person>
            <b:Last>Cuervo</b:Last>
            <b:First>A</b:First>
          </b:Person>
        </b:NameList>
      </b:Author>
    </b:Author>
    <b:RefOrder>16</b:RefOrder>
  </b:Source>
  <b:Source>
    <b:Tag>Tam12</b:Tag>
    <b:SourceType>Book</b:SourceType>
    <b:Guid>{7560B5C6-0E70-45E3-9D0D-F805B19483CE}</b:Guid>
    <b:Title>El proceso de la investigación científica</b:Title>
    <b:Year>2012</b:Year>
    <b:City>México D.F.</b:City>
    <b:Publisher>LIMUSA</b:Publisher>
    <b:Author>
      <b:Author>
        <b:NameList>
          <b:Person>
            <b:Last>Tamayo</b:Last>
            <b:First>M.</b:First>
          </b:Person>
        </b:NameList>
      </b:Author>
    </b:Author>
    <b:RefOrder>17</b:RefOrder>
  </b:Source>
  <b:Source>
    <b:Tag>Lan10</b:Tag>
    <b:SourceType>Book</b:SourceType>
    <b:Guid>{912407CD-D565-494F-A939-4DD8AC4E2672}</b:Guid>
    <b:Author>
      <b:Author>
        <b:NameList>
          <b:Person>
            <b:Last>Landeau</b:Last>
            <b:First>R.</b:First>
          </b:Person>
        </b:NameList>
      </b:Author>
    </b:Author>
    <b:Title>Elaboración de trabajos de investigación</b:Title>
    <b:Year>2010</b:Year>
    <b:City>Caracas</b:City>
    <b:Publisher>ALFA</b:Publisher>
    <b:RefOrder>18</b:RefOrder>
  </b:Source>
  <b:Source>
    <b:Tag>Con19</b:Tag>
    <b:SourceType>JournalArticle</b:SourceType>
    <b:Guid>{2B2016A2-1496-4A88-A438-7CBEC4A71BE7}</b:Guid>
    <b:Title>Feedback practices and conceptions in Initial Teacher Training.</b:Title>
    <b:Year>2019</b:Year>
    <b:Author>
      <b:Author>
        <b:NameList>
          <b:Person>
            <b:Last>Contreras</b:Last>
            <b:First>C.</b:First>
          </b:Person>
          <b:Person>
            <b:Last>Zúñiga</b:Last>
            <b:First>C.</b:First>
          </b:Person>
        </b:NameList>
      </b:Author>
    </b:Author>
    <b:JournalName>Revista Scientific Electronic Library Online. </b:JournalName>
    <b:RefOrder>19</b:RefOrder>
  </b:Source>
  <b:Source>
    <b:Tag>Shu08</b:Tag>
    <b:SourceType>JournalArticle</b:SourceType>
    <b:Guid>{A06B996C-8DC8-40AE-8134-67BBC3A0AC67}</b:Guid>
    <b:Title> Focus on Formative Feedback.  78(1),</b:Title>
    <b:JournalName>Review of Educational Research,</b:JournalName>
    <b:Year>2008</b:Year>
    <b:Pages> 153-189.</b:Pages>
    <b:Author>
      <b:Author>
        <b:NameList>
          <b:Person>
            <b:Last>Shute</b:Last>
            <b:First>V.</b:First>
          </b:Person>
        </b:NameList>
      </b:Author>
    </b:Author>
    <b:Comments> DOI: 10.3102/0034654307313795</b:Comments>
    <b:RefOrder>20</b:RefOrder>
  </b:Source>
  <b:Source>
    <b:Tag>Cav19</b:Tag>
    <b:SourceType>Report</b:SourceType>
    <b:Guid>{C3A1EE89-B20F-46CE-A7C8-324A7F71CB94}</b:Guid>
    <b:Title>Retroalimentación Formativa a Estudiantes en Práctica Pedagógica.</b:Title>
    <b:Year>2019</b:Year>
    <b:Publisher>(Tesis posgrado, Universidad Viña del Mar).</b:Publisher>
    <b:Author>
      <b:Author>
        <b:NameList>
          <b:Person>
            <b:Last>Caviedes</b:Last>
            <b:First>V.</b:First>
          </b:Person>
        </b:NameList>
      </b:Author>
    </b:Author>
    <b:RefOrder>21</b:RefOrder>
  </b:Source>
  <b:Source>
    <b:Tag>Dam18</b:Tag>
    <b:SourceType>JournalArticle</b:SourceType>
    <b:Guid>{EB34A9D3-C718-4852-9DFA-EA26DDCF75D4}</b:Guid>
    <b:Title>Patterns in the form of formative feedback and student response</b:Title>
    <b:Year>2018</b:Year>
    <b:Pages> 727-744</b:Pages>
    <b:Comments>DOI: 10.1080 / 02602938.2017.1403564</b:Comments>
    <b:Author>
      <b:Author>
        <b:Corporate>  Damsgaard, L.;  Bruun, J. ;  Johannsen, B. ; Ellegaard, M. </b:Corporate>
      </b:Author>
    </b:Author>
    <b:JournalName>Assessment &amp; Evaluation in Higher Education</b:JournalName>
    <b:RefOrder>22</b:RefOrder>
  </b:Source>
  <b:Source>
    <b:Tag>Ale20</b:Tag>
    <b:SourceType>JournalArticle</b:SourceType>
    <b:Guid>{47C3F0DE-5D93-456C-91B9-406E692ABD6B}</b:Guid>
    <b:Title>Retroalimentación y evaluación formativa en los estudiantes de la Institución Educativa 0115</b:Title>
    <b:JournalName>Tesis posgrado Universidad César Vallejo</b:JournalName>
    <b:Year>2020</b:Year>
    <b:Author>
      <b:Author>
        <b:NameList>
          <b:Person>
            <b:Last>Alegría</b:Last>
            <b:First>C.</b:First>
          </b:Person>
        </b:NameList>
      </b:Author>
    </b:Author>
    <b:City>Tarapoto 2020</b:City>
    <b:StandardNumber>Repositorio https://repositorio.ucv.edu.pe/discover</b:StandardNumber>
    <b:RefOrder>23</b:RefOrder>
  </b:Source>
  <b:Source>
    <b:Tag>Eld19</b:Tag>
    <b:SourceType>DocumentFromInternetSite</b:SourceType>
    <b:Guid>{3D6C49B6-37C7-4031-B700-966A329F20E6}</b:Guid>
    <b:Title>Los hábitos lectores en educación secundaria y bachillerato</b:Title>
    <b:InternetSiteTitle>Repositorio Institucional Universidad de la Laguna</b:InternetSiteTitle>
    <b:Year>2019</b:Year>
    <b:URL>https://riull.ull.es/xmlui/bitstream/handle/915/16990/Los%20habitos%20lectores%20en%20Educacion%20Secundaria%20y%20Bachillerato.pdf?sequence=1</b:URL>
    <b:Author>
      <b:Author>
        <b:NameList>
          <b:Person>
            <b:Last>Elduayen</b:Last>
            <b:First>Soldevilla</b:First>
          </b:Person>
        </b:NameList>
      </b:Author>
    </b:Author>
    <b:YearAccessed>2021</b:YearAccessed>
    <b:MonthAccessed>septiembre</b:MonthAccessed>
    <b:DayAccessed>5</b:DayAccessed>
    <b:RefOrder>1</b:RefOrder>
  </b:Source>
  <b:Source>
    <b:Tag>INE212</b:Tag>
    <b:SourceType>DocumentFromInternetSite</b:SourceType>
    <b:Guid>{4D0A25E3-4C51-4936-ADF9-7903D1D1AABF}</b:Guid>
    <b:Author>
      <b:Author>
        <b:Corporate>INEC</b:Corporate>
      </b:Author>
    </b:Author>
    <b:Title>Hábitos de lectura en Ecuador</b:Title>
    <b:InternetSiteTitle>Cámara Ecuatoriana del Libro</b:InternetSiteTitle>
    <b:URL>https://www.celibro.org.ec/web/img/cms/ESTUDIO%20HABITOS%20DE%20LECTURA%20INEC.pdf</b:URL>
    <b:YearAccessed>2021</b:YearAccessed>
    <b:MonthAccessed>agosto</b:MonthAccessed>
    <b:DayAccessed>23</b:DayAccessed>
    <b:Year>2012</b:Year>
    <b:RefOrder>2</b:RefOrder>
  </b:Source>
  <b:Source>
    <b:Tag>Red201</b:Tag>
    <b:SourceType>DocumentFromInternetSite</b:SourceType>
    <b:Guid>{421121D2-8250-4C66-B2D1-04B9325A13C0}</b:Guid>
    <b:Author>
      <b:Author>
        <b:Corporate>REDUCA</b:Corporate>
      </b:Author>
    </b:Author>
    <b:Title>Situación educacional en Ecuador: una mirada desde los principales indicadores educativos</b:Title>
    <b:InternetSiteTitle>Red Latinoamericana por la Educación</b:InternetSiteTitle>
    <b:Year>2020</b:Year>
    <b:URL>www.educacion2020.cl/sites/default/files/informe_reduca_ecuador.pdf</b:URL>
    <b:YearAccessed>2021</b:YearAccessed>
    <b:MonthAccessed>septiembre</b:MonthAccessed>
    <b:DayAccessed>7</b:DayAccessed>
    <b:RefOrder>3</b:RefOrder>
  </b:Source>
  <b:Source>
    <b:Tag>Ins182</b:Tag>
    <b:SourceType>DocumentFromInternetSite</b:SourceType>
    <b:Guid>{FEDFC3F1-B143-408A-8131-F4090EB79FBF}</b:Guid>
    <b:Author>
      <b:Author>
        <b:Corporate>INEVAL</b:Corporate>
      </b:Author>
    </b:Author>
    <b:Title>La educación en Ecuador: logros alcanzados y nuevos desafíos</b:Title>
    <b:InternetSiteTitle>Instituto Nacional de Evaluación Educativa</b:InternetSiteTitle>
    <b:Year>2018</b:Year>
    <b:URL>www.evaluacion.gob.ec/wp-content/uploads/downloads/2019/02/CIE_ResultadosEducativos18_20190109.pdf</b:URL>
    <b:YearAccessed>2021</b:YearAccessed>
    <b:MonthAccessed>septiembre</b:MonthAccessed>
    <b:DayAccessed>7</b:DayAccessed>
    <b:RefOrder>4</b:RefOrder>
  </b:Source>
  <b:Source>
    <b:Tag>Car191</b:Tag>
    <b:SourceType>JournalArticle</b:SourceType>
    <b:Guid>{378BDED3-E9BA-4F11-8E1F-8A483CAF6518}</b:Guid>
    <b:Author>
      <b:Author>
        <b:NameList>
          <b:Person>
            <b:Last>Carpio</b:Last>
            <b:First>María</b:First>
            <b:Middle>de los Ángeles</b:Middle>
          </b:Person>
        </b:NameList>
      </b:Author>
    </b:Author>
    <b:Title>Desarrollo de la lectura comprensiva en el programa de estudio de español de primer ciclo: un análisis desde el enfoque psicolingüístico</b:Title>
    <b:JournalName>Revista Electrónica Leer, Escribir y Descubrir</b:JournalName>
    <b:Year>2019</b:Year>
    <b:Pages>1-12</b:Pages>
    <b:Volume>1</b:Volume>
    <b:Issue>4</b:Issue>
    <b:YearAccessed>2021</b:YearAccessed>
    <b:MonthAccessed>agosto</b:MonthAccessed>
    <b:DayAccessed>25</b:DayAccessed>
    <b:URL>https://digitalcommons.fiu.edu/cgi/viewcontent.cgi?article=1020&amp;context=led</b:URL>
    <b:RefOrder>5</b:RefOrder>
  </b:Source>
  <b:Source>
    <b:Tag>Ora18</b:Tag>
    <b:SourceType>JournalArticle</b:SourceType>
    <b:Guid>{A407A0A8-FD7C-41B8-8C95-08647F248C52}</b:Guid>
    <b:Author>
      <b:Author>
        <b:NameList>
          <b:Person>
            <b:Last>Oramas</b:Last>
            <b:First>Manuel</b:First>
          </b:Person>
          <b:Person>
            <b:Last>García</b:Last>
            <b:First>Ángela</b:First>
          </b:Person>
        </b:NameList>
      </b:Author>
    </b:Author>
    <b:Title>Estudio de Disponibilidad Léxica en estudiantes de bachillerato de las ciudades de Matanzas y Morelia</b:Title>
    <b:JournalName>Atenas</b:JournalName>
    <b:Year>2018</b:Year>
    <b:Pages>17-31</b:Pages>
    <b:Volume>2</b:Volume>
    <b:Issue>42</b:Issue>
    <b:YearAccessed>2021</b:YearAccessed>
    <b:MonthAccessed>agosto</b:MonthAccessed>
    <b:DayAccessed>25</b:DayAccessed>
    <b:URL>https://www.redalyc.org/journal/4780/478055152002/html/</b:URL>
    <b:RefOrder>6</b:RefOrder>
  </b:Source>
  <b:Source>
    <b:Tag>Riv</b:Tag>
    <b:SourceType>JournalArticle</b:SourceType>
    <b:Guid>{6A993B94-2D8C-48CA-918C-8008A2569AFB}</b:Guid>
    <b:Title>Metodología para el desarrollo de la comprensión lectora en el proceso enseñanza-aprendizaje</b:Title>
    <b:Author>
      <b:Author>
        <b:NameList>
          <b:Person>
            <b:Last>Rivas</b:Last>
            <b:First>Limberg</b:First>
          </b:Person>
        </b:NameList>
      </b:Author>
    </b:Author>
    <b:JournalName>Dominio de las Ciencias</b:JournalName>
    <b:Year>2015</b:Year>
    <b:Pages>47-61</b:Pages>
    <b:Volume>1</b:Volume>
    <b:Issue>1</b:Issue>
    <b:YearAccessed>2021</b:YearAccessed>
    <b:MonthAccessed>agosto</b:MonthAccessed>
    <b:DayAccessed>27</b:DayAccessed>
    <b:URL>https://dialnet.unirioja.es/descarga/articulo/5761664.pdf</b:URL>
    <b:RefOrder>7</b:RefOrder>
  </b:Source>
  <b:Source>
    <b:Tag>Llu17</b:Tag>
    <b:SourceType>JournalArticle</b:SourceType>
    <b:Guid>{EBE89589-33F3-401A-B3FB-A2188C688D8B}</b:Guid>
    <b:Author>
      <b:Author>
        <b:NameList>
          <b:Person>
            <b:Last>Lluch</b:Last>
            <b:First>Gemma</b:First>
          </b:Person>
          <b:Person>
            <b:Last>Sánchez García</b:Last>
            <b:First>Sandra</b:First>
          </b:Person>
        </b:NameList>
      </b:Author>
    </b:Author>
    <b:Title>La Promoción de la Lectura: Un Análisis Crítico  de  los Artículos  de Investigación</b:Title>
    <b:JournalName>Research Studies</b:JournalName>
    <b:Year>2017</b:Year>
    <b:Volume>40</b:Volume>
    <b:Issue>4</b:Issue>
    <b:DOI>http://dx.doi.org/10.3989/redc.2017.4.1450</b:DOI>
    <b:RefOrder>8</b:RefOrder>
  </b:Source>
  <b:Source>
    <b:Tag>Cad20</b:Tag>
    <b:SourceType>JournalArticle</b:SourceType>
    <b:Guid>{85250A9D-1DC4-44CE-B3BC-6C29F41F2773}</b:Guid>
    <b:Author>
      <b:Author>
        <b:NameList>
          <b:Person>
            <b:Last>Cadme</b:Last>
            <b:First>Tránsito</b:First>
          </b:Person>
          <b:Person>
            <b:Last>García</b:Last>
            <b:First>Darwin</b:First>
          </b:Person>
          <b:Person>
            <b:Last>Cárdenas</b:Last>
            <b:First>Nancy</b:First>
          </b:Person>
          <b:Person>
            <b:Last>Erazo</b:Last>
            <b:First>Juan</b:First>
          </b:Person>
        </b:NameList>
      </b:Author>
    </b:Author>
    <b:Title>Comprensión lectora e innovación educativa: estrategias para mejorar la lectoescritura en los jóvenes del bachillerato</b:Title>
    <b:JournalName>Revista Interdisciplinaria de Humanidades, Educación, Ciencia y Tecnología</b:JournalName>
    <b:Year>2020</b:Year>
    <b:Pages>337 - 363</b:Pages>
    <b:Volume>6</b:Volume>
    <b:Issue>1</b:Issue>
    <b:DOI>10.35381/cm.v6i1.337</b:DOI>
    <b:RefOrder>9</b:RefOrder>
  </b:Source>
  <b:Source>
    <b:Tag>Bar202</b:Tag>
    <b:SourceType>JournalArticle</b:SourceType>
    <b:Guid>{7B254472-37A1-446E-BA02-ABE6D46651A1}</b:Guid>
    <b:Author>
      <b:Author>
        <b:NameList>
          <b:Person>
            <b:Last>Barzola</b:Last>
            <b:First>Virginia</b:First>
          </b:Person>
          <b:Person>
            <b:Last>Bolívar</b:Last>
            <b:First>Oscar</b:First>
          </b:Person>
          <b:Person>
            <b:Last>Navarrete</b:Last>
            <b:First>Yulexy</b:First>
          </b:Person>
        </b:NameList>
      </b:Author>
    </b:Author>
    <b:Title>Incidencia de la comprensión lectora en las aptitudes investigativas de los estudiantes de educación superior</b:Title>
    <b:JournalName>Educación Médica Superior</b:JournalName>
    <b:Year>2020</b:Year>
    <b:Pages>1-17</b:Pages>
    <b:Volume>34</b:Volume>
    <b:Issue>4</b:Issue>
    <b:YearAccessed>2021</b:YearAccessed>
    <b:MonthAccessed>agosto</b:MonthAccessed>
    <b:DayAccessed>27</b:DayAccessed>
    <b:URL>http://scielo.sld.cu/pdf/ems/v34n4/1561-2902-ems-34-04-e2520.pdf</b:URL>
    <b:RefOrder>10</b:RefOrder>
  </b:Source>
  <b:Source>
    <b:Tag>Ros16</b:Tag>
    <b:SourceType>JournalArticle</b:SourceType>
    <b:Guid>{F874427A-AF09-4569-9ED5-B7B50389BB83}</b:Guid>
    <b:Author>
      <b:Author>
        <b:NameList>
          <b:Person>
            <b:Last>Rosales</b:Last>
            <b:First>Mariely</b:First>
            <b:Middle>del Valle</b:Middle>
          </b:Person>
        </b:NameList>
      </b:Author>
    </b:Author>
    <b:Title>El acto de leer: una experiencia en Educación Primaria</b:Title>
    <b:JournalName>Educere</b:JournalName>
    <b:Year>2016</b:Year>
    <b:Pages>91-98</b:Pages>
    <b:Volume>20</b:Volume>
    <b:Issue>65</b:Issue>
    <b:YearAccessed>2021</b:YearAccessed>
    <b:MonthAccessed>agosto</b:MonthAccessed>
    <b:DayAccessed>29</b:DayAccessed>
    <b:URL>https://www.redalyc.org/pdf/356/35646429010.pdf</b:URL>
    <b:RefOrder>11</b:RefOrder>
  </b:Source>
  <b:Source>
    <b:Tag>Riv21</b:Tag>
    <b:SourceType>JournalArticle</b:SourceType>
    <b:Guid>{2A1D9C26-7813-4CA1-9D76-26004A6B7605}</b:Guid>
    <b:Author>
      <b:Author>
        <b:NameList>
          <b:Person>
            <b:Last>Rivadeneira</b:Last>
            <b:First>Luisana</b:First>
          </b:Person>
          <b:Person>
            <b:Last>Cárdenas</b:Last>
            <b:First>Nancy</b:First>
          </b:Person>
        </b:NameList>
      </b:Author>
    </b:Author>
    <b:Title>Intralíneas como estrategia metodológica para desarrollar la comprensión lectora en el bachillerato técnico</b:Title>
    <b:JournalName>KOINONÍA</b:JournalName>
    <b:Year>2021</b:Year>
    <b:Pages>422-443</b:Pages>
    <b:Volume>6</b:Volume>
    <b:Issue>3</b:Issue>
    <b:DOI>dx.doi.org/10.35381/r.k.v6i3.1320</b:DOI>
    <b:RefOrder>12</b:RefOrder>
  </b:Source>
  <b:Source>
    <b:Tag>Pan20</b:Tag>
    <b:SourceType>JournalArticle</b:SourceType>
    <b:Guid>{0416BF6A-F20F-4934-B45F-D76F0165DB86}</b:Guid>
    <b:Author>
      <b:Author>
        <b:NameList>
          <b:Person>
            <b:Last>Pantoja</b:Last>
            <b:First>Miriam</b:First>
          </b:Person>
          <b:Person>
            <b:Last>Lucero</b:Last>
            <b:First>Nelson</b:First>
          </b:Person>
          <b:Person>
            <b:Last>Arciniegas</b:Last>
            <b:First>Olga</b:First>
          </b:Person>
          <b:Person>
            <b:Last>Enriquez</b:Last>
            <b:First>Jenny</b:First>
          </b:Person>
        </b:NameList>
      </b:Author>
    </b:Author>
    <b:Title>Hábitos de lectura en la juventud: un desafío para los docentes ecuatorianos</b:Title>
    <b:JournalName>Dilemas Contemporáneos</b:JournalName>
    <b:Year>2020</b:Year>
    <b:Pages>1-14</b:Pages>
    <b:Volume>7</b:Volume>
    <b:Issue>1</b:Issue>
    <b:YearAccessed>2021</b:YearAccessed>
    <b:MonthAccessed>agosto</b:MonthAccessed>
    <b:DayAccessed>31</b:DayAccessed>
    <b:URL>https://www.dilemascontemporaneoseducacionpoliticayvalores.com/index.php/dilemas/article/view/2092</b:URL>
    <b:RefOrder>13</b:RefOrder>
  </b:Source>
  <b:Source>
    <b:Tag>Zev17</b:Tag>
    <b:SourceType>JournalArticle</b:SourceType>
    <b:Guid>{86B0D66F-2881-4B56-80FE-89EC221C1CD9}</b:Guid>
    <b:Author>
      <b:Author>
        <b:NameList>
          <b:Person>
            <b:Last>Zevallos</b:Last>
            <b:First>Diana</b:First>
          </b:Person>
          <b:Person>
            <b:Last>Ripoll</b:Last>
            <b:First>Juan</b:First>
          </b:Person>
        </b:NameList>
      </b:Author>
    </b:Author>
    <b:Title>La concepción simple de la lectura en alumnos de 4º de primaria de una escuela fiscal de Quito</b:Title>
    <b:JournalName>Alteridad</b:JournalName>
    <b:Year>2017</b:Year>
    <b:Pages>115-122</b:Pages>
    <b:Volume>12</b:Volume>
    <b:Issue>1</b:Issue>
    <b:DOI>https://doi.org/10.17163/alt.v12n1.2017.10</b:DOI>
    <b:RefOrder>14</b:RefOrder>
  </b:Source>
  <b:Source>
    <b:Tag>Cub17</b:Tag>
    <b:SourceType>JournalArticle</b:SourceType>
    <b:Guid>{A4B24370-7794-4D24-8B36-A572075A2F80}</b:Guid>
    <b:Author>
      <b:Author>
        <b:NameList>
          <b:Person>
            <b:Last>Cubides</b:Last>
            <b:First>Claudia</b:First>
          </b:Person>
          <b:Person>
            <b:Last>Rojas</b:Last>
            <b:First>Marianela</b:First>
          </b:Person>
          <b:Person>
            <b:Last>Cárdenas</b:Last>
            <b:First>Ruth</b:First>
          </b:Person>
        </b:NameList>
      </b:Author>
    </b:Author>
    <b:Title>Lectura Crítica. Definiciones, experiencias y posibilidades</b:Title>
    <b:JournalName>Saber, Ciencia y Libertad</b:JournalName>
    <b:Year>2017</b:Year>
    <b:Pages>184-197</b:Pages>
    <b:Volume>12</b:Volume>
    <b:Issue>2</b:Issue>
    <b:DOI>doi.org/10.18041/2382-3240/saber.2017v12n2.1586</b:DOI>
    <b:RefOrder>15</b:RefOrder>
  </b:Source>
  <b:Source>
    <b:Tag>Ari18</b:Tag>
    <b:SourceType>JournalArticle</b:SourceType>
    <b:Guid>{2356E41C-0DEB-4C8B-8101-C4CB6E46A041}</b:Guid>
    <b:Author>
      <b:Author>
        <b:NameList>
          <b:Person>
            <b:Last>Arias</b:Last>
            <b:First>Gloria</b:First>
          </b:Person>
        </b:NameList>
      </b:Author>
    </b:Author>
    <b:Title>La lectura crítica como estrategia para el desarrollo del pensamiento lógico</b:Title>
    <b:JournalName>Boletín Virtual</b:JournalName>
    <b:Year>2018</b:Year>
    <b:Pages>86-94</b:Pages>
    <b:Volume>7</b:Volume>
    <b:Issue>1</b:Issue>
    <b:YearAccessed>2021</b:YearAccessed>
    <b:MonthAccessed>agosto</b:MonthAccessed>
    <b:DayAccessed>27</b:DayAccessed>
    <b:URL>https://revista.redipe.org/index.php/1/article/view/419/416</b:URL>
    <b:RefOrder>16</b:RefOrder>
  </b:Source>
  <b:Source>
    <b:Tag>Men20</b:Tag>
    <b:SourceType>JournalArticle</b:SourceType>
    <b:Guid>{A4D54DEA-1312-42B1-BBBE-D296CADE2E29}</b:Guid>
    <b:Author>
      <b:Author>
        <b:NameList>
          <b:Person>
            <b:Last>Mendoza</b:Last>
            <b:First>Derling</b:First>
          </b:Person>
          <b:Person>
            <b:Last>Flores</b:Last>
            <b:First>Elizeth</b:First>
          </b:Person>
          <b:Person>
            <b:Last>Revilla</b:Last>
            <b:First>Lorena</b:First>
          </b:Person>
          <b:Person>
            <b:Last>Cejas</b:Last>
            <b:First>Magda</b:First>
          </b:Person>
          <b:Person>
            <b:Last>Navarro</b:Last>
            <b:First>Mercedes</b:First>
          </b:Person>
        </b:NameList>
      </b:Author>
    </b:Author>
    <b:Title>Práctica pedagógica ecuatoriana en el siglo XXI</b:Title>
    <b:JournalName>EDETANIA</b:JournalName>
    <b:Year>2020</b:Year>
    <b:Pages>111-141</b:Pages>
    <b:Issue>57</b:Issue>
    <b:YearAccessed>2021</b:YearAccessed>
    <b:MonthAccessed>septiembre</b:MonthAccessed>
    <b:DayAccessed>5</b:DayAccessed>
    <b:URL>https://dialnet.unirioja.es/servlet/articulo?codigo=7518847</b:URL>
    <b:RefOrder>17</b:RefOrder>
  </b:Source>
  <b:Source>
    <b:Tag>MarcadorDePosición9</b:Tag>
    <b:SourceType>JournalArticle</b:SourceType>
    <b:Guid>{EF3F251D-2EF8-4C31-B54D-59D2089DEC08}</b:Guid>
    <b:Author>
      <b:Author>
        <b:NameList>
          <b:Person>
            <b:Last>Montesdeoca</b:Last>
            <b:First>Deborah</b:First>
          </b:Person>
          <b:Person>
            <b:Last>Gómez</b:Last>
            <b:First>María</b:First>
          </b:Person>
          <b:Person>
            <b:Last>Espejo</b:Last>
            <b:First>Roberto</b:First>
          </b:Person>
        </b:NameList>
      </b:Author>
    </b:Author>
    <b:Title>Estrategias didácticas para la comprensión lectora aplicadas y percibidas: un estudio con docentes y alumnos en el cuarto grado de educación básica</b:Title>
    <b:JournalName>Investigaciones sobre Lectura</b:JournalName>
    <b:Year>2020</b:Year>
    <b:Pages>149 - 164</b:Pages>
    <b:Issue>14</b:Issue>
    <b:DOI>10.37132/isl.v0i14.321</b:DOI>
    <b:RefOrder>18</b:RefOrder>
  </b:Source>
  <b:Source>
    <b:Tag>Can20</b:Tag>
    <b:SourceType>JournalArticle</b:SourceType>
    <b:Guid>{ED30A98D-8E9D-4133-92DB-F410D555D5E0}</b:Guid>
    <b:Author>
      <b:Author>
        <b:NameList>
          <b:Person>
            <b:Last>Cantos</b:Last>
            <b:First>Gema</b:First>
          </b:Person>
          <b:Person>
            <b:Last>Mero</b:Last>
            <b:First>Fátima</b:First>
          </b:Person>
          <b:Person>
            <b:Last>Vinces</b:Last>
            <b:First>Vilma</b:First>
          </b:Person>
        </b:NameList>
      </b:Author>
    </b:Author>
    <b:Title>La comunicación educativa en el aula: una experiencia desde la práctica docente en el bachillerato</b:Title>
    <b:JournalName>Luz</b:JournalName>
    <b:Year>2020</b:Year>
    <b:Pages>102-112</b:Pages>
    <b:Volume>19</b:Volume>
    <b:Issue>2</b:Issue>
    <b:YearAccessed>2021</b:YearAccessed>
    <b:MonthAccessed>agosto</b:MonthAccessed>
    <b:DayAccessed>30</b:DayAccessed>
    <b:URL>https://luz.uho.edu.cu/index.php/luz/article/view/1039</b:URL>
    <b:RefOrder>19</b:RefOrder>
  </b:Source>
  <b:Source>
    <b:Tag>Bon20</b:Tag>
    <b:SourceType>JournalArticle</b:SourceType>
    <b:Guid>{C6ACF23F-4267-43B6-B151-3314D0DD4370}</b:Guid>
    <b:Author>
      <b:Author>
        <b:NameList>
          <b:Person>
            <b:Last>Bonilla</b:Last>
            <b:First>Johanna</b:First>
          </b:Person>
        </b:NameList>
      </b:Author>
    </b:Author>
    <b:Title>Las dos caras de la educación en el COVID-19</b:Title>
    <b:JournalName>CienciAmérica</b:JournalName>
    <b:Year>2020</b:Year>
    <b:Pages>1-10</b:Pages>
    <b:Volume>9</b:Volume>
    <b:Issue>2</b:Issue>
    <b:DOI>dx.doi.org/10.33210/ca.v9i2.294</b:DOI>
    <b:RefOrder>20</b:RefOrder>
  </b:Source>
  <b:Source>
    <b:Tag>Nav21</b:Tag>
    <b:SourceType>JournalArticle</b:SourceType>
    <b:Guid>{0D520BB3-E485-41C3-8D52-1754C74702CA}</b:Guid>
    <b:Title>Estrategias de motivación a la lectura digital en tiempos de emergencia sanitaria. Caso: Carrera de Bibliotecología, documentación y archivos de la UTM</b:Title>
    <b:JournalName>Revista de Ciencias Humanísticas y Sociales</b:JournalName>
    <b:Year>2021</b:Year>
    <b:Pages>103-110</b:Pages>
    <b:Author>
      <b:Author>
        <b:NameList>
          <b:Person>
            <b:Last>Navarrete</b:Last>
            <b:First>Mariuxi</b:First>
          </b:Person>
        </b:NameList>
      </b:Author>
    </b:Author>
    <b:Volume>6</b:Volume>
    <b:Issue>1</b:Issue>
    <b:DOI> https://doi.org/10.33936/rehuso.v6i1.2988</b:DOI>
    <b:RefOrder>21</b:RefOrder>
  </b:Source>
  <b:Source>
    <b:Tag>Far161</b:Tag>
    <b:SourceType>JournalArticle</b:SourceType>
    <b:Guid>{378A31FC-0C21-482D-B809-5311D00DEDD4}</b:Guid>
    <b:Author>
      <b:Author>
        <b:NameList>
          <b:Person>
            <b:Last>Farrach</b:Last>
            <b:First>Graciela</b:First>
          </b:Person>
        </b:NameList>
      </b:Author>
    </b:Author>
    <b:Title>Estrategias metodológicas para fomentar la comprensión lectora</b:Title>
    <b:JournalName>Revista Científica de FAREM-Estelí. Medio ambiente, tecnología y desarrollo humano</b:JournalName>
    <b:Year>2016</b:Year>
    <b:Pages>5-19</b:Pages>
    <b:Issue>20</b:Issue>
    <b:YearAccessed>2021</b:YearAccessed>
    <b:MonthAccessed>agosto </b:MonthAccessed>
    <b:DayAccessed>31</b:DayAccessed>
    <b:URL>https://repositorio.unan.edu.ni/6262/6/285-1028-1-PB.pdf</b:URL>
    <b:RefOrder>22</b:RefOrder>
  </b:Source>
  <b:Source>
    <b:Tag>Asa14</b:Tag>
    <b:SourceType>Book</b:SourceType>
    <b:Guid>{57F6773B-3B0E-4369-A54A-2E09D8AFAB5B}</b:Guid>
    <b:Author>
      <b:Author>
        <b:Corporate>Asamblea Nacional del Ecuador</b:Corporate>
      </b:Author>
    </b:Author>
    <b:Title>Código Orgánico Integral Penal</b:Title>
    <b:Year>2014</b:Year>
    <b:City>Quito</b:City>
    <b:Publisher>Publicado en Registro Oficial Suplemento No. 180 de fecha 10 de febrero del 2014</b:Publisher>
    <b:RefOrder>1</b:RefOrder>
  </b:Source>
  <b:Source>
    <b:Tag>MarcadorDePosición10</b:Tag>
    <b:SourceType>JournalArticle</b:SourceType>
    <b:Guid>{4817F370-CA68-4E3D-A5D7-140D8FCF1B85}</b:Guid>
    <b:Title>La resocialización como fin de la pena – una frustración en el sistema penitenciario y carcelario</b:Title>
    <b:JournalName>Cuaderno CRH, 30(81)</b:JournalName>
    <b:Year>2017</b:Year>
    <b:Pages>539-559</b:Pages>
    <b:Author>
      <b:Author>
        <b:NameList>
          <b:Person>
            <b:Last>Hernández Jiménez</b:Last>
            <b:First>Norberto </b:First>
          </b:Person>
        </b:NameList>
      </b:Author>
    </b:Author>
    <b:RefOrder>2</b:RefOrder>
  </b:Source>
  <b:Source>
    <b:Tag>Arr20</b:Tag>
    <b:SourceType>JournalArticle</b:SourceType>
    <b:Guid>{B70F1330-88F9-470C-9513-E5179F1232C6}</b:Guid>
    <b:Title>Interpretación del sistema carcelario ecuatoriano</b:Title>
    <b:Year>2020</b:Year>
    <b:Author>
      <b:Author>
        <b:NameList>
          <b:Person>
            <b:Last>Arrias Añez</b:Last>
            <b:First>Julio César De Jesús</b:First>
          </b:Person>
          <b:Person>
            <b:Last>Plaza Benavides</b:Last>
            <b:First>Betzabeth Raquel</b:First>
          </b:Person>
          <b:Person>
            <b:Last>Herráez Quezada</b:Last>
            <b:First>Raúl Gilberto</b:First>
          </b:Person>
        </b:NameList>
      </b:Author>
    </b:Author>
    <b:JournalName>Revista Universidad y Sociedad, 12(4)</b:JournalName>
    <b:Pages>16-20</b:Pages>
    <b:RefOrder>3</b:RefOrder>
  </b:Source>
  <b:Source>
    <b:Tag>MarcadorDePosición11</b:Tag>
    <b:SourceType>InternetSite</b:SourceType>
    <b:Guid>{EABBC695-EDF5-44C9-B8A4-A6BB263F5310}</b:Guid>
    <b:Title>Motines en cárceles de Ecuador dejan al menos 18 muertos</b:Title>
    <b:Year>2021</b:Year>
    <b:Month>julio</b:Month>
    <b:Day>22</b:Day>
    <b:URL>https://www.aa.com.tr/es/mundo/motines-en-c%C3%A1rceles-de-ecuador-dejan-al-menos-18-muertos/2311485#</b:URL>
    <b:Author>
      <b:Author>
        <b:NameList>
          <b:Person>
            <b:Last>Serna Duque</b:Last>
            <b:First>Santiago</b:First>
          </b:Person>
        </b:NameList>
      </b:Author>
    </b:Author>
    <b:RefOrder>4</b:RefOrder>
  </b:Source>
  <b:Source>
    <b:Tag>Dia21</b:Tag>
    <b:SourceType>InternetSite</b:SourceType>
    <b:Guid>{2611F7C8-0E65-4629-BA12-65D43121571A}</b:Guid>
    <b:Author>
      <b:Author>
        <b:Corporate>Diario El Universo</b:Corporate>
      </b:Author>
    </b:Author>
    <b:Title>Nueva masacre en las cárceles supera la cifra de muertes del 2020 y, en respuesta, presidente cambia a director del SNAI y decreta emergencia</b:Title>
    <b:Year>2021</b:Year>
    <b:Month>julio</b:Month>
    <b:Day>22</b:Day>
    <b:URL>https://www.eluniverso.com/noticias/seguridad/nueva-masacre-en-las-carceles-supera-la-cifra-de-muertes-del-2020-y-en-respuesta-presidente-cambia-a-director-del-snai-y-decreta-emergencia-nota/</b:URL>
    <b:RefOrder>5</b:RefOrder>
  </b:Source>
  <b:Source>
    <b:Tag>Dia2111</b:Tag>
    <b:SourceType>InternetSite</b:SourceType>
    <b:Guid>{3EDD612D-8F91-4000-8F03-967217F54324}</b:Guid>
    <b:Title>Aumentó a 119 la cifra de fallecidos en la masacre de la Penitenciaría, 100 han sido identificados</b:Title>
    <b:Year>2021</b:Year>
    <b:Author>
      <b:Author>
        <b:Corporate>Diario El Universo</b:Corporate>
      </b:Author>
    </b:Author>
    <b:Month>octubre</b:Month>
    <b:Day>02</b:Day>
    <b:URL>https://www.eluniverso.com/noticias/seguridad/aumento-a-119-la-cifra-de-fallecidos-en-la-masacre-de-la-penitenciaria-100-han-sido-identificados-nota/</b:URL>
    <b:RefOrder>6</b:RefOrder>
  </b:Source>
  <b:Source>
    <b:Tag>Dia211</b:Tag>
    <b:SourceType>InternetSite</b:SourceType>
    <b:Guid>{F04545DA-20C3-436A-951C-6DBDE98311C0}</b:Guid>
    <b:Author>
      <b:Author>
        <b:Corporate>Diario El Comercio</b:Corporate>
      </b:Author>
    </b:Author>
    <b:Title>Nueva masacre evidencia viejas fallas en cárceles de Ecuador</b:Title>
    <b:Year>2021</b:Year>
    <b:Month>julio</b:Month>
    <b:Day>23</b:Day>
    <b:URL>https://www.elcomercio.com/actualidad/seguridad/carceles-masacre-cotopaxi-penitenciaria-presos.html</b:URL>
    <b:RefOrder>7</b:RefOrder>
  </b:Source>
  <b:Source>
    <b:Tag>Núñ181</b:Tag>
    <b:SourceType>Book</b:SourceType>
    <b:Guid>{177DA5ED-50B0-4C88-8BD0-1A7A3566DC8F}</b:Guid>
    <b:Title>Incumplimiento del principio de rehabilitación social y su incidencia en las personas privadas de la libertad (Tesis de posgrado)</b:Title>
    <b:Year>2018</b:Year>
    <b:City>Quito</b:City>
    <b:Publisher>Universidad Andina Simón Bolívar</b:Publisher>
    <b:Author>
      <b:Author>
        <b:NameList>
          <b:Person>
            <b:Last>Núñez Falconí</b:Last>
            <b:First>Nadia</b:First>
          </b:Person>
        </b:NameList>
      </b:Author>
    </b:Author>
    <b:RefOrder>8</b:RefOrder>
  </b:Source>
  <b:Source>
    <b:Tag>Ávi08</b:Tag>
    <b:SourceType>Book</b:SourceType>
    <b:Guid>{43A73137-2946-49AB-8658-7C219907E6BB}</b:Guid>
    <b:Title>La Rehabilitación no rehabilita: La ejecución de penas en el garantismo penal</b:Title>
    <b:Year>2008</b:Year>
    <b:City>Quito</b:City>
    <b:Publisher>Ministerio de Justicia, Derechos Humanos y Cultos </b:Publisher>
    <b:Author>
      <b:Author>
        <b:NameList>
          <b:Person>
            <b:Last>Ávila Santamaría</b:Last>
            <b:First>Ramiro</b:First>
          </b:Person>
        </b:NameList>
      </b:Author>
    </b:Author>
    <b:RefOrder>9</b:RefOrder>
  </b:Source>
  <b:Source>
    <b:Tag>Cer161</b:Tag>
    <b:SourceType>JournalArticle</b:SourceType>
    <b:Guid>{09355024-981B-47D8-BC46-0275D51042FE}</b:Guid>
    <b:Title>Reinserción y readaptación social: agendas pendientes en el esquema penitenciario</b:Title>
    <b:Year>2016</b:Year>
    <b:JournalName>Revista Opción, 32(9)</b:JournalName>
    <b:Pages>343-370</b:Pages>
    <b:Author>
      <b:Author>
        <b:NameList>
          <b:Person>
            <b:Last>Cerda Pérez</b:Last>
            <b:First>Patricia Liliana</b:First>
          </b:Person>
          <b:Person>
            <b:Last>Alvarado Pérez</b:Last>
            <b:First>José Gregorio Jr.</b:First>
          </b:Person>
          <b:Person>
            <b:Last>Cerda Pérez</b:Last>
            <b:First>Emma</b:First>
          </b:Person>
        </b:NameList>
      </b:Author>
    </b:Author>
    <b:RefOrder>10</b:RefOrder>
  </b:Source>
  <b:Source>
    <b:Tag>Nov19</b:Tag>
    <b:SourceType>JournalArticle</b:SourceType>
    <b:Guid>{F944F9C0-E13B-4DC5-BE4B-401E1F396253}</b:Guid>
    <b:Title>La inclusión de grupos de atención prioritaria en proyectos de vinculación de la sociedad</b:Title>
    <b:JournalName>Revista Conrado, 15(67)</b:JournalName>
    <b:Year>2019</b:Year>
    <b:Pages>75-80</b:Pages>
    <b:Author>
      <b:Author>
        <b:NameList>
          <b:Person>
            <b:Last>Novillo Díaz</b:Last>
            <b:First>Lenin Alexander </b:First>
          </b:Person>
        </b:NameList>
      </b:Author>
    </b:Author>
    <b:RefOrder>11</b:RefOrder>
  </b:Source>
  <b:Source>
    <b:Tag>Loo21</b:Tag>
    <b:SourceType>DocumentFromInternetSite</b:SourceType>
    <b:Guid>{71723576-08B0-455A-90BA-D7632E37053D}</b:Guid>
    <b:Title>Personas de doble vulnerabilidad</b:Title>
    <b:Year>2021</b:Year>
    <b:Month>abril</b:Month>
    <b:Day>16</b:Day>
    <b:URL>https://www.derechoecuador.com/personas-de-doble-vulnerabilidad</b:URL>
    <b:Author>
      <b:Author>
        <b:NameList>
          <b:Person>
            <b:Last>Loor Loor</b:Last>
            <b:First>Yandri M.</b:First>
          </b:Person>
          <b:Person>
            <b:Last>Espinoza Guillén</b:Last>
            <b:First>Byron</b:First>
          </b:Person>
        </b:NameList>
      </b:Author>
    </b:Author>
    <b:RefOrder>12</b:RefOrder>
  </b:Source>
  <b:Source>
    <b:Tag>Asa08</b:Tag>
    <b:SourceType>Book</b:SourceType>
    <b:Guid>{1B09E7EB-128B-4690-8C9E-D26D8A1B7DDF}</b:Guid>
    <b:Author>
      <b:Author>
        <b:Corporate>Asamblea Constituyente</b:Corporate>
      </b:Author>
    </b:Author>
    <b:Title>Constitución de la República del Ecuador</b:Title>
    <b:Year>2008</b:Year>
    <b:City>Quito</b:City>
    <b:Publisher>Publicado en Registro Oficial No. 449 de fecha 20 de octubre del 2008</b:Publisher>
    <b:RefOrder>13</b:RefOrder>
  </b:Source>
  <b:Source>
    <b:Tag>Aña17</b:Tag>
    <b:SourceType>JournalArticle</b:SourceType>
    <b:Guid>{EF31100D-0507-4F18-8315-1C4388333795}</b:Guid>
    <b:Title>¿Desarrollo humano en contextos punitivos?</b:Title>
    <b:Year>2017</b:Year>
    <b:JournalName>Revista Criminal, 59(2)</b:JournalName>
    <b:Pages>109-124</b:Pages>
    <b:Author>
      <b:Author>
        <b:NameList>
          <b:Person>
            <b:Last>Añaños Bedriñana</b:Last>
            <b:First>Fanny T</b:First>
          </b:Person>
          <b:Person>
            <b:Last>García Vita</b:Last>
            <b:First>María del Mar</b:First>
          </b:Person>
        </b:NameList>
      </b:Author>
    </b:Author>
    <b:RefOrder>14</b:RefOrder>
  </b:Source>
  <b:Source>
    <b:Tag>Man01</b:Tag>
    <b:SourceType>Book</b:SourceType>
    <b:Guid>{3C560A0C-B7A4-4FD0-83ED-A509C6BA7FCA}</b:Guid>
    <b:Title>La medición del desarrollo humano: elementos de un debate. Serie Estudios</b:Title>
    <b:Year>2001</b:Year>
    <b:City>Santiago de Chile</b:City>
    <b:Publisher>CEPAL</b:Publisher>
    <b:Author>
      <b:Author>
        <b:NameList>
          <b:Person>
            <b:Last>Mancero</b:Last>
            <b:First>Xavier</b:First>
          </b:Person>
        </b:NameList>
      </b:Author>
    </b:Author>
    <b:RefOrder>15</b:RefOrder>
  </b:Source>
  <b:Source>
    <b:Tag>Pal08</b:Tag>
    <b:SourceType>Book</b:SourceType>
    <b:Guid>{451B6BCA-E8D9-4AC7-B2A3-259B5C20F6B7}</b:Guid>
    <b:Title>Razón jurídica o barbarie: Sobre la jurisdicción en la ejecución penal</b:Title>
    <b:Year>2008</b:Year>
    <b:City>Quito</b:City>
    <b:Publisher>Ministerio de Justicia, Derechos Humanos y Cultos</b:Publisher>
    <b:Author>
      <b:Author>
        <b:NameList>
          <b:Person>
            <b:Last>Paladines</b:Last>
            <b:First>Jorge Vicente</b:First>
          </b:Person>
        </b:NameList>
      </b:Author>
    </b:Author>
    <b:RefOrder>16</b:RefOrder>
  </b:Source>
  <b:Source>
    <b:Tag>Alb04</b:Tag>
    <b:SourceType>Book</b:SourceType>
    <b:Guid>{572DD4F4-3425-4F86-AD2C-8225386AE123}</b:Guid>
    <b:Title>Manual de derecho penal ecuatoriano: Parte general</b:Title>
    <b:Year>2004</b:Year>
    <b:City>Quito</b:City>
    <b:Publisher>Ediciones Legales</b:Publisher>
    <b:Author>
      <b:Author>
        <b:NameList>
          <b:Person>
            <b:Last>Albán Gómez</b:Last>
            <b:First>Ernesto </b:First>
          </b:Person>
        </b:NameList>
      </b:Author>
    </b:Author>
    <b:RefOrder>17</b:RefOrder>
  </b:Source>
  <b:Source>
    <b:Tag>Car12</b:Tag>
    <b:SourceType>JournalArticle</b:SourceType>
    <b:Guid>{654FAF0C-0CC1-48B9-8CD3-B68DE7C1739C}</b:Guid>
    <b:Title>Situación penitenciaria en América Latina y el Caribe ¿Qué hacer?</b:Title>
    <b:Year>2012</b:Year>
    <b:JournalName>Anuario de derechos humanos, 8</b:JournalName>
    <b:Pages>31-66</b:Pages>
    <b:Author>
      <b:Author>
        <b:NameList>
          <b:Person>
            <b:Last>Carranza</b:Last>
            <b:First>E.</b:First>
          </b:Person>
        </b:NameList>
      </b:Author>
    </b:Author>
    <b:RefOrder>18</b:RefOrder>
  </b:Source>
  <b:Source>
    <b:Tag>Gar05</b:Tag>
    <b:SourceType>Book</b:SourceType>
    <b:Guid>{F69AFEC6-92E9-42F8-BA38-DCBCF48230CA}</b:Guid>
    <b:Title>La cultura del control Crimen y orden social en la sociedad contemporánea</b:Title>
    <b:Year>2005</b:Year>
    <b:City>Barcelona</b:City>
    <b:Publisher>Gedisa</b:Publisher>
    <b:Author>
      <b:Author>
        <b:NameList>
          <b:Person>
            <b:Last>Garland</b:Last>
            <b:First>D.</b:First>
          </b:Person>
        </b:NameList>
      </b:Author>
    </b:Author>
    <b:RefOrder>19</b:RefOrder>
  </b:Source>
  <b:Source>
    <b:Tag>Her171</b:Tag>
    <b:SourceType>JournalArticle</b:SourceType>
    <b:Guid>{96005328-7BB5-4E72-BCC6-244CB83A2F50}</b:Guid>
    <b:Title>La resocialización como fin de la pena - Una frustración en el sistema penitenciario y carcelario</b:Title>
    <b:Year>2017</b:Year>
    <b:Pages>50-72</b:Pages>
    <b:JournalName>Revista Caderno CRH, 30(81)</b:JournalName>
    <b:Author>
      <b:Author>
        <b:NameList>
          <b:Person>
            <b:Last>Hernández Jiménez</b:Last>
            <b:First>Norberto </b:First>
          </b:Person>
        </b:NameList>
      </b:Author>
    </b:Author>
    <b:RefOrder>20</b:RefOrder>
  </b:Source>
  <b:Source>
    <b:Tag>Alb14</b:Tag>
    <b:SourceType>Book</b:SourceType>
    <b:Guid>{26C1CC2E-C688-4DAA-A729-CFAB6C26D7E8}</b:Guid>
    <b:Title>Vida en prisión: guía práctica de derecho penitenciario</b:Title>
    <b:Year>2014</b:Year>
    <b:Author>
      <b:Author>
        <b:NameList>
          <b:Person>
            <b:Last>Albinyana</b:Last>
            <b:First>J.</b:First>
          </b:Person>
          <b:Person>
            <b:Last>Cervera</b:Last>
            <b:First>S.</b:First>
          </b:Person>
        </b:NameList>
      </b:Author>
    </b:Author>
    <b:City>Madrid</b:City>
    <b:Publisher>Fe d'erratas</b:Publisher>
    <b:RefOrder>21</b:RefOrder>
  </b:Source>
  <b:Source>
    <b:Tag>Aug19</b:Tag>
    <b:SourceType>DocumentFromInternetSite</b:SourceType>
    <b:Guid>{C74A4723-51F7-42B7-B2F2-493629245BAB}</b:Guid>
    <b:Title>Sistema de Rehabilitación social</b:Title>
    <b:Year>2019</b:Year>
    <b:Month>abril</b:Month>
    <b:Day>05</b:Day>
    <b:URL>https://www.derechoecuador.com/sistema-de-rehabilitacion-social</b:URL>
    <b:Author>
      <b:Author>
        <b:NameList>
          <b:Person>
            <b:Last>Durán Ponce</b:Last>
            <b:First>Augusto</b:First>
          </b:Person>
        </b:NameList>
      </b:Author>
    </b:Author>
    <b:RefOrder>22</b:RefOrder>
  </b:Source>
  <b:Source>
    <b:Tag>Asa48</b:Tag>
    <b:SourceType>Book</b:SourceType>
    <b:Guid>{AE8573A0-2C71-446D-A492-1629BA15F45C}</b:Guid>
    <b:Author>
      <b:Author>
        <b:Corporate>Asamblea General de las Naciones Unidas</b:Corporate>
      </b:Author>
    </b:Author>
    <b:Title>Declaración Universal de Derechos Humanos</b:Title>
    <b:Year>1948</b:Year>
    <b:City>París</b:City>
    <b:Publisher>Proclamada en Resolución 217 A (III) en París, el 10 de diciembre de 1948</b:Publisher>
    <b:RefOrder>23</b:RefOrder>
  </b:Source>
  <b:Source>
    <b:Tag>Org55</b:Tag>
    <b:SourceType>Book</b:SourceType>
    <b:Guid>{74C44469-CB59-4DD1-979B-098F2E12BAFC}</b:Guid>
    <b:Title>Reglas mínimas para el tratamiento de los reclusos</b:Title>
    <b:Year>1955</b:Year>
    <b:City>Ginebra</b:City>
    <b:Publisher>Adoptadas por el Primer Congreso de las Naciones Unidas sobre Prevención del Delito y Tratamiento del Delincuente, celebrado en Ginebra en 1955, y aprobadas por el Consejo Económico y Social en sus resoluciones 663C (XXIV) y 2076 (LXII)</b:Publisher>
    <b:Author>
      <b:Author>
        <b:Corporate>Organización de las Naciones Unidas</b:Corporate>
      </b:Author>
    </b:Author>
    <b:RefOrder>24</b:RefOrder>
  </b:Source>
  <b:Source>
    <b:Tag>Asa662</b:Tag>
    <b:SourceType>Book</b:SourceType>
    <b:Guid>{074113F8-6515-4096-99CA-D8A856B9DD59}</b:Guid>
    <b:Author>
      <b:Author>
        <b:Corporate>Asamblea General de las Naciones Unidas</b:Corporate>
      </b:Author>
    </b:Author>
    <b:Title>Pacto Internacional de Derechos Económicos, Sociales y Culturales</b:Title>
    <b:Year>1966</b:Year>
    <b:Publisher>Adoptado y abierto a la firma, ratificación y adhesión por la Asamblea General en su resolución 2200 A (XXI), de 16 de diciembre de 1966</b:Publisher>
    <b:RefOrder>25</b:RefOrder>
  </b:Source>
  <b:Source>
    <b:Tag>Oso12</b:Tag>
    <b:SourceType>JournalArticle</b:SourceType>
    <b:Guid>{A9FDF575-FC88-4D2B-AE66-23727B65BAC8}</b:Guid>
    <b:Title>La realización plena de los derechos económicos, sociales y culturales, una aspiración insatisfecha: a propósito de las personas privadas de la libertad</b:Title>
    <b:Year>2012</b:Year>
    <b:JournalName>Revista Internacional de Derechos Humanos</b:JournalName>
    <b:Pages>145-165</b:Pages>
    <b:Author>
      <b:Author>
        <b:NameList>
          <b:Person>
            <b:Last>Osorio Álvarez</b:Last>
            <b:First>Astrid </b:First>
          </b:Person>
        </b:NameList>
      </b:Author>
    </b:Author>
    <b:RefOrder>26</b:RefOrder>
  </b:Source>
  <b:Source>
    <b:Tag>Con69</b:Tag>
    <b:SourceType>Book</b:SourceType>
    <b:Guid>{90975C20-6750-4125-8ABE-C0FAFA723BE0}</b:Guid>
    <b:Author>
      <b:Author>
        <b:Corporate>Conferencia Especializada Interamericana de Derechos Humanos</b:Corporate>
      </b:Author>
    </b:Author>
    <b:Title>Convención Americana sobre Derechos Humanos (Pacto de San José)</b:Title>
    <b:Year>1969</b:Year>
    <b:City>Costa Rica</b:City>
    <b:Publisher>Suscrita en la Conferencia Especializada Interamericana sobre Derechos Humanos San José, Costa Rica del 7 al 22 de noviembre de 1969</b:Publisher>
    <b:RefOrder>27</b:RefOrder>
  </b:Source>
  <b:Source>
    <b:Tag>Cor02</b:Tag>
    <b:SourceType>DocumentFromInternetSite</b:SourceType>
    <b:Guid>{1C8EE8F4-07A4-4F50-B78F-8CEE4E18450D}</b:Guid>
    <b:Author>
      <b:Author>
        <b:Corporate>Corte Interamericana de Derechos Humanos</b:Corporate>
      </b:Author>
    </b:Author>
    <b:Title>Caso Hilaire, Constantine y Benjamin y otros Vs. Trinidad y Tobago (Fondo, Reparaciones y Costas) </b:Title>
    <b:Year>2002</b:Year>
    <b:Month>junio</b:Month>
    <b:Day>21</b:Day>
    <b:URL>https://www.corteidh.or.cr/docs/casos/articulos/Seriec_94_esp.pdf</b:URL>
    <b:RefOrder>28</b:RefOrder>
  </b:Source>
  <b:Source>
    <b:Tag>Cor04</b:Tag>
    <b:SourceType>DocumentFromInternetSite</b:SourceType>
    <b:Guid>{3464BCE4-36CF-48DB-9A41-472F4404305B}</b:Guid>
    <b:Title>Caso “Instituto de Reeducación del Menor” Vs. Paraguay (Excepciones Preliminares, Fondo, Reparaciones y Costas)</b:Title>
    <b:Year>2004</b:Year>
    <b:Author>
      <b:Author>
        <b:Corporate>Corte Interamericana de Derechos Humanos</b:Corporate>
      </b:Author>
    </b:Author>
    <b:City>Costa Rica</b:City>
    <b:Month>septiembre</b:Month>
    <b:Day>02</b:Day>
    <b:URL>https://www.corteidh.or.cr/docs/casos/articulos/seriec_112_esp.pdf</b:URL>
    <b:RefOrder>29</b:RefOrder>
  </b:Source>
  <b:Source>
    <b:Tag>INR21</b:Tag>
    <b:SourceType>DocumentFromInternetSite</b:SourceType>
    <b:Guid>{A6927271-5ECA-4D76-9382-E00204B76BDA}</b:Guid>
    <b:Title>Ecuador registra más de 38 mil presos en el 2021, 15 mil están sin una sentencia y sus familiares pagan más de 200 dólares mensuales para cubrir sus necesidades mínimas</b:Title>
    <b:Year>2021</b:Year>
    <b:Author>
      <b:Author>
        <b:Corporate>INREDH Derechos Humanos</b:Corporate>
      </b:Author>
    </b:Author>
    <b:Month>octubre</b:Month>
    <b:Day>14</b:Day>
    <b:URL>https://inredh.org/ecuador-registra-mas-de-38-mil-presos-en-el-2021-15-mil-estan-sin-una-sentencia/</b:URL>
    <b:RefOrder>30</b:RefOrder>
  </b:Source>
  <b:Source>
    <b:Tag>Ser</b:Tag>
    <b:SourceType>DocumentFromInternetSite</b:SourceType>
    <b:Guid>{51522C29-A5B0-4104-81BE-672506646005}</b:Guid>
    <b:Author>
      <b:Author>
        <b:Corporate>Servicio Nacional de atención integral a personas privadas de la libertad y a adolescentes infractores</b:Corporate>
      </b:Author>
    </b:Author>
    <b:Title>Transformación del sistema de rehabilitación social a nivel nacional</b:Title>
    <b:Month>noviembre</b:Month>
    <b:Day>2019</b:Day>
    <b:URL>https://www.atencionintegral.gob.ec/wp-content/uploads/2020/02/PROYECTO-TRANSFORMACI%C3%93N-SISTEMA-REHABILITACI%C3%93N-SOCIAL_VF_15NOV2019.pdf</b:URL>
    <b:RefOrder>31</b:RefOrder>
  </b:Source>
  <b:Source>
    <b:Tag>Pre19</b:Tag>
    <b:SourceType>DocumentFromInternetSite</b:SourceType>
    <b:Guid>{341BE18A-DC8B-46DB-899B-5AFF25A4BEDF}</b:Guid>
    <b:Author>
      <b:Author>
        <b:Corporate>Presidencia de la República del Ecuador</b:Corporate>
      </b:Author>
    </b:Author>
    <b:Title>Decreto Ejecutivo No. 741</b:Title>
    <b:Year>2019</b:Year>
    <b:Month>mayo</b:Month>
    <b:Day>16</b:Day>
    <b:URL>http://www.oas.org/es/sla/ddi/docs/tratados_multilaterales_suspencion_garantias_Ecuador_No_4-2-210-2019.pdf</b:URL>
    <b:RefOrder>32</b:RefOrder>
  </b:Source>
  <b:Source>
    <b:Tag>Pre191</b:Tag>
    <b:SourceType>DocumentFromInternetSite</b:SourceType>
    <b:Guid>{FED19288-0F7E-48AD-A608-0C191109BA66}</b:Guid>
    <b:Author>
      <b:Author>
        <b:Corporate>Presidencia de la República del Ecuador</b:Corporate>
      </b:Author>
    </b:Author>
    <b:Title>Decreto Ejecutivo No. 741</b:Title>
    <b:Year>2019</b:Year>
    <b:Month>julio</b:Month>
    <b:Day>15</b:Day>
    <b:URL>https://minka.presidencia.gob.ec/portal/usuarios_externos.jsf</b:URL>
    <b:RefOrder>33</b:RefOrder>
  </b:Source>
  <b:Source>
    <b:Tag>Cor183</b:Tag>
    <b:SourceType>DocumentFromInternetSite</b:SourceType>
    <b:Guid>{9705F1D4-98AF-4A40-B5E0-74DF01359AFB}</b:Guid>
    <b:Title>Sentencia No. 017-18-SEP-CC, dentro del Caso No. 0513-16-EP</b:Title>
    <b:Year>2018</b:Year>
    <b:Month>enero</b:Month>
    <b:Day>10</b:Day>
    <b:URL>http://doc.corteconstitucional.gob.ec:8080/alfresco/d/d/workspace/SpacesStore/fc4fdf9b-893d-4bc1-be98-9897b1746d74/0513-16-ep-sen.pdf?guest=true</b:URL>
    <b:Author>
      <b:Author>
        <b:Corporate>Corte Constitucional del Ecuador</b:Corporate>
      </b:Author>
    </b:Author>
    <b:RefOrder>34</b:RefOrder>
  </b:Source>
  <b:Source>
    <b:Tag>Her14</b:Tag>
    <b:SourceType>Book</b:SourceType>
    <b:Guid>{2B7BB847-4EED-4073-AA2E-386FDDA46536}</b:Guid>
    <b:Title>Metodología de la Investigación</b:Title>
    <b:Year>2014</b:Year>
    <b:City>México</b:City>
    <b:Publisher>Mc Graw Hill</b:Publisher>
    <b:Author>
      <b:Author>
        <b:NameList>
          <b:Person>
            <b:Last>Hernández Sampieri</b:Last>
            <b:First>Roberto</b:First>
          </b:Person>
          <b:Person>
            <b:Last>Fernández Collado</b:Last>
            <b:First>Carlos</b:First>
          </b:Person>
          <b:Person>
            <b:Last>Baptista Lucio</b:Last>
            <b:First>Pilar</b:First>
          </b:Person>
        </b:NameList>
      </b:Author>
    </b:Author>
    <b:RefOrder>35</b:RefOrder>
  </b:Source>
  <b:Source>
    <b:Tag>GSM20</b:Tag>
    <b:SourceType>Report</b:SourceType>
    <b:Guid>{19E5D96E-D695-4D8E-9BE7-CDCA2890DB2D}</b:Guid>
    <b:Title>The Mobile Economy 2020</b:Title>
    <b:Year>2020</b:Year>
    <b:Author>
      <b:Author>
        <b:Corporate>GSM Association</b:Corporate>
      </b:Author>
    </b:Author>
    <b:LCID>en-US</b:LCID>
    <b:URL>https://www.gsma.com/mobileeconomy/</b:URL>
    <b:RefOrder>1</b:RefOrder>
  </b:Source>
  <b:Source>
    <b:Tag>Bra</b:Tag>
    <b:SourceType>InternetSite</b:SourceType>
    <b:Guid>{91A1CD3B-37D1-4CD7-9BD5-2C17DB70EEFE}</b:Guid>
    <b:Author>
      <b:Author>
        <b:Corporate>Brainlang</b:Corporate>
      </b:Author>
    </b:Author>
    <b:Title>La importancia del inglés en cifras</b:Title>
    <b:InternetSiteTitle>La importancia del inglés en cifras</b:InternetSiteTitle>
    <b:URL>https://www.brainlang.com/blog/la-importancia-del-ingles-en-cifras.html?utm_campaign=SEO-blog&amp;utm_source=SEO&amp;utm_content=blog_la-importancia-del-ingles-en-cifras#El-ingles-la-lengua-mas-poderosa-del-mundo</b:URL>
    <b:RefOrder>2</b:RefOrder>
  </b:Source>
  <b:Source>
    <b:Tag>Chá17</b:Tag>
    <b:SourceType>JournalArticle</b:SourceType>
    <b:Guid>{32543699-9F8F-4C37-808C-07A31246DFA3}</b:Guid>
    <b:Author>
      <b:Author>
        <b:NameList>
          <b:Person>
            <b:Last>Chávez Zambano</b:Last>
            <b:First>M.</b:First>
            <b:Middle>X.</b:Middle>
          </b:Person>
          <b:Person>
            <b:Last>Saltos Vivas</b:Last>
            <b:First>M.</b:First>
            <b:Middle>A.</b:Middle>
          </b:Person>
          <b:Person>
            <b:Last>Saltos-Dueñas</b:Last>
          </b:Person>
        </b:NameList>
      </b:Author>
    </b:Author>
    <b:Title>La importancia del aprendizaje y conocimiento del idioma inglés en la enseñanza superior</b:Title>
    <b:Year>2017</b:Year>
    <b:JournalName>Dominio de las Ciencias</b:JournalName>
    <b:Pages>759-771</b:Pages>
    <b:URL>https://dominiodelasciencias.com/ojs/index.php/es/article/view/707</b:URL>
    <b:DOI>http://dx.doi.org/10.23857/dc.v3i3 mon.707.</b:DOI>
    <b:RefOrder>3</b:RefOrder>
  </b:Source>
  <b:Source>
    <b:Tag>Cap15</b:Tag>
    <b:SourceType>JournalArticle</b:SourceType>
    <b:Guid>{63AFC3EF-1BDE-4935-9DCC-6B3741A79B76}</b:Guid>
    <b:Author>
      <b:Author>
        <b:NameList>
          <b:Person>
            <b:Last>Villegas</b:Last>
            <b:Middle>Santana</b:Middle>
            <b:First>Josefina del Carmen </b:First>
          </b:Person>
          <b:Person>
            <b:Last>García Santillán</b:Last>
            <b:First>Arturo</b:First>
          </b:Person>
          <b:Person>
            <b:Last>Escalera Chávez</b:Last>
            <b:Middle>Elena</b:Middle>
            <b:First>Milka</b:First>
          </b:Person>
        </b:NameList>
      </b:Author>
    </b:Author>
    <b:Title>Variables que influyen sobre el aprendizaje del inglés como segunda lengua</b:Title>
    <b:JournalName>Revista Internacional de Lenguas Extranjeras</b:JournalName>
    <b:Year>2016</b:Year>
    <b:Pages>79-94</b:Pages>
    <b:URL>https://www.raco.cat/index.php/RILE/article/view/316766</b:URL>
    <b:RefOrder>4</b:RefOrder>
  </b:Source>
  <b:Source>
    <b:Tag>Gav16</b:Tag>
    <b:SourceType>JournalArticle</b:SourceType>
    <b:Guid>{48FAF3E4-D8E3-4348-B80D-87CBB9F00CB8}</b:Guid>
    <b:Title>El aprendizaje de lenguas extranjeras mediado por las TIC: aprender Inglés con Duolingo</b:Title>
    <b:JournalName>El toldo de Astier</b:JournalName>
    <b:Year>2016</b:Year>
    <b:Pages>56-65</b:Pages>
    <b:Author>
      <b:Author>
        <b:NameList>
          <b:Person>
            <b:Last>Gavarri</b:Last>
            <b:Middle>Lorena</b:Middle>
            <b:First>Sandra</b:First>
          </b:Person>
        </b:NameList>
      </b:Author>
    </b:Author>
    <b:DOI>https://doi.org/10.33262/concienciadigital.v4i1.1.1557</b:DOI>
    <b:RefOrder>5</b:RefOrder>
  </b:Source>
  <b:Source>
    <b:Tag>Her16</b:Tag>
    <b:SourceType>JournalArticle</b:SourceType>
    <b:Guid>{3F687660-C8B7-4630-925C-48758C7BAD39}</b:Guid>
    <b:Title>Uso de la plataforma en línea duolingo para el incremento del nivel de habilidades receptivas en inglés en los alumnos de técnico superior universitario de una escuela técnica superior en la ciudad de guatemala.</b:Title>
    <b:Year>2016</b:Year>
    <b:Author>
      <b:Author>
        <b:NameList>
          <b:Person>
            <b:Last>Hernández Rojas</b:Last>
            <b:Middle>Santiago</b:Middle>
            <b:First>José</b:First>
          </b:Person>
        </b:NameList>
      </b:Author>
    </b:Author>
    <b:URL>http://recursosbiblio.url.edu.gt/tesisjcem/2015/05/84/Hernandez-Jose.pdf</b:URL>
    <b:RefOrder>6</b:RefOrder>
  </b:Source>
  <b:Source>
    <b:Tag>Mel02</b:Tag>
    <b:SourceType>Book</b:SourceType>
    <b:Guid>{F7111680-9267-4276-BBF7-532BA49C2D9D}</b:Guid>
    <b:Author>
      <b:Author>
        <b:NameList>
          <b:Person>
            <b:Last>Melillo</b:Last>
            <b:First>A.</b:First>
          </b:Person>
        </b:NameList>
      </b:Author>
    </b:Author>
    <b:Title> Sobre la necesidad de especificar otro pilar de la resiliencia: </b:Title>
    <b:Year>2002</b:Year>
    <b:City>Buenos Aires</b:City>
    <b:Publisher>Paidós.</b:Publisher>
    <b:RefOrder>1</b:RefOrder>
  </b:Source>
  <b:Source>
    <b:Tag>Cyr09</b:Tag>
    <b:SourceType>Book</b:SourceType>
    <b:Guid>{F004382B-33AF-4732-8CD7-C11270DA4E5D}</b:Guid>
    <b:Author>
      <b:Author>
        <b:NameList>
          <b:Person>
            <b:Last>Cyrulnik</b:Last>
            <b:First>B.</b:First>
          </b:Person>
        </b:NameList>
      </b:Author>
    </b:Author>
    <b:Title>La resiliencia o la capacidad humana de superar pérdidas, crisis, adversidades o traumas. </b:Title>
    <b:Year>2009</b:Year>
    <b:City>Madrid - España</b:City>
    <b:Publisher>: Institud Francais.</b:Publisher>
    <b:RefOrder>2</b:RefOrder>
  </b:Source>
  <b:Source>
    <b:Tag>Van11</b:Tag>
    <b:SourceType>Book</b:SourceType>
    <b:Guid>{8990BEA4-1CD8-4C5B-9AC7-6D74E88CC3B0}</b:Guid>
    <b:Author>
      <b:Author>
        <b:NameList>
          <b:Person>
            <b:Last>Vanistedael</b:Last>
            <b:First>S.,.</b:First>
          </b:Person>
        </b:NameList>
      </b:Author>
    </b:Author>
    <b:Title>La resiliencia no se construye a cualquier precio, siempre tiene una dimensión ética.: </b:Title>
    <b:Year>2011</b:Year>
    <b:City> Barcelona - España</b:City>
    <b:Publisher>Universidad de Barcelona.</b:Publisher>
    <b:RefOrder>3</b:RefOrder>
  </b:Source>
  <b:Source>
    <b:Tag>Gro06</b:Tag>
    <b:SourceType>Book</b:SourceType>
    <b:Guid>{47E47239-5892-45EC-8D93-1C63F94AE7A0}</b:Guid>
    <b:Author>
      <b:Author>
        <b:NameList>
          <b:Person>
            <b:Last>Grotberg</b:Last>
            <b:First>E.</b:First>
          </b:Person>
        </b:NameList>
      </b:Author>
    </b:Author>
    <b:Title> La resiliencia en el mundo de hoy.</b:Title>
    <b:Year>2006</b:Year>
    <b:City> Barcelona</b:City>
    <b:Publisher>Gedisa.</b:Publisher>
    <b:RefOrder>4</b:RefOrder>
  </b:Source>
  <b:Source>
    <b:Tag>Sal97</b:Tag>
    <b:SourceType>Book</b:SourceType>
    <b:Guid>{9F9312D8-86A8-4861-9148-CE3E8F9EE92E}</b:Guid>
    <b:Author>
      <b:Author>
        <b:NameList>
          <b:Person>
            <b:Last>Saleebey</b:Last>
            <b:First>D.</b:First>
          </b:Person>
        </b:NameList>
      </b:Author>
    </b:Author>
    <b:Title>¿Es factible enseñar HBSE desde una perspectiva de fortalezas, en ¿Contraste con uno que enfatiza limitaciones y debilidades?</b:Title>
    <b:Year>1997</b:Year>
    <b:City> Bostón: </b:City>
    <b:Publisher>Allyn y Tocino.</b:Publisher>
    <b:RefOrder>5</b:RefOrder>
  </b:Source>
  <b:Source>
    <b:Tag>Fer05</b:Tag>
    <b:SourceType>JournalArticle</b:SourceType>
    <b:Guid>{F2661A5F-C299-40B5-9A0E-643EE0A0ABC7}</b:Guid>
    <b:Author>
      <b:Author>
        <b:NameList>
          <b:Person>
            <b:Last>Fergus</b:Last>
            <b:First>S.</b:First>
          </b:Person>
          <b:Person>
            <b:Last>Zimmerman</b:Last>
            <b:First>M.</b:First>
          </b:Person>
        </b:NameList>
      </b:Author>
    </b:Author>
    <b:Title>Resiliencia del adolescente: un marco para el entendimiento. </b:Title>
    <b:Year>2005</b:Year>
    <b:JournalName> Desarrollo saludable,</b:JournalName>
    <b:Pages>399 - 419.</b:Pages>
    <b:RefOrder>6</b:RefOrder>
  </b:Source>
  <b:Source>
    <b:Tag>Rut95</b:Tag>
    <b:SourceType>JournalArticle</b:SourceType>
    <b:Guid>{63D852B5-130A-41E9-9CDB-EB34D765895E}</b:Guid>
    <b:Author>
      <b:Author>
        <b:NameList>
          <b:Person>
            <b:Last>Rutter</b:Last>
            <b:First>M.</b:First>
          </b:Person>
        </b:NameList>
      </b:Author>
    </b:Author>
    <b:Title> Resiliencia ante la adversidad: factores protectores y resistencia al trastorno psiquiátrico.</b:Title>
    <b:JournalName> British Journal of Psychiatric, </b:JournalName>
    <b:Year>1995</b:Year>
    <b:Pages>147 - 150.</b:Pages>
    <b:RefOrder>7</b:RefOrder>
  </b:Source>
  <b:Source>
    <b:Tag>Sal162</b:Tag>
    <b:SourceType>Book</b:SourceType>
    <b:Guid>{67430063-8959-452D-A6EF-4335D26A2C74}</b:Guid>
    <b:Author>
      <b:Author>
        <b:NameList>
          <b:Person>
            <b:Last>Salgado</b:Last>
            <b:First>A.</b:First>
          </b:Person>
        </b:NameList>
      </b:Author>
    </b:Author>
    <b:Title>Inventario de Resiliencia para Niños: Fundamentación teórica y construcción.  </b:Title>
    <b:Year>2016</b:Year>
    <b:City>Lima:</b:City>
    <b:Publisher>Universidad de San Martín de Porres.</b:Publisher>
    <b:RefOrder>8</b:RefOrder>
  </b:Source>
  <b:Source>
    <b:Tag>Cyr01</b:Tag>
    <b:SourceType>Book</b:SourceType>
    <b:Guid>{6D757083-1ED9-4465-B4D5-7EB658B05F78}</b:Guid>
    <b:Author>
      <b:Author>
        <b:Corporate>Cyrulnik, B.</b:Corporate>
      </b:Author>
    </b:Author>
    <b:Title>La maravilla del dolor</b:Title>
    <b:Year>2001</b:Year>
    <b:City>Barcelona</b:City>
    <b:Publisher>Granica</b:Publisher>
    <b:RefOrder>9</b:RefOrder>
  </b:Source>
  <b:Source>
    <b:Tag>Mel021</b:Tag>
    <b:SourceType>Book</b:SourceType>
    <b:Guid>{9E69FA9C-7D8F-4264-B95A-53C6CFDCADDC}</b:Guid>
    <b:Author>
      <b:Author>
        <b:Corporate>Melillo, A.</b:Corporate>
      </b:Author>
    </b:Author>
    <b:Title>Sobre la necesidad de especificar otro pilar de la resiliencia.:</b:Title>
    <b:Year>2002</b:Year>
    <b:City>Buenos Aires</b:City>
    <b:Publisher>Paidós.</b:Publisher>
    <b:RefOrder>10</b:RefOrder>
  </b:Source>
  <b:Source>
    <b:Tag>Wol99</b:Tag>
    <b:SourceType>Book</b:SourceType>
    <b:Guid>{9F029C64-A620-4392-BEA0-AFC5EB328D3B}</b:Guid>
    <b:Author>
      <b:Author>
        <b:NameList>
          <b:Person>
            <b:Last>Wollins</b:Last>
            <b:First>S.</b:First>
          </b:Person>
          <b:Person>
            <b:Last>Wieczorek</b:Last>
            <b:First>W.</b:First>
          </b:Person>
        </b:NameList>
      </b:Author>
    </b:Author>
    <b:Title> Resiliencia: Pros, contras y no resueltas. .</b:Title>
    <b:Year>1999</b:Year>
    <b:City> New York:</b:City>
    <b:Publisher>Mc Graw Hill</b:Publisher>
    <b:RefOrder>11</b:RefOrder>
  </b:Source>
  <b:Source>
    <b:Tag>Her03</b:Tag>
    <b:SourceType>Book</b:SourceType>
    <b:Guid>{F1FFDC7A-183C-4698-8F09-8677ADEFC5F4}</b:Guid>
    <b:Author>
      <b:Author>
        <b:NameList>
          <b:Person>
            <b:Last>Hernández</b:Last>
            <b:First>R.</b:First>
          </b:Person>
          <b:Person>
            <b:Last>Fernández</b:Last>
            <b:First>C.</b:First>
          </b:Person>
          <b:Person>
            <b:Last>Baptista</b:Last>
            <b:First>P.</b:First>
          </b:Person>
        </b:NameList>
      </b:Author>
    </b:Author>
    <b:Title> Metodología de la investigación. Tercera edición. Ed. </b:Title>
    <b:Year>2003</b:Year>
    <b:City>México DF, México:</b:City>
    <b:Publisher> MacGraw Hill Interamericana. </b:Publisher>
    <b:RefOrder>12</b:RefOrder>
  </b:Source>
  <b:Source>
    <b:Tag>Her07</b:Tag>
    <b:SourceType>Book</b:SourceType>
    <b:Guid>{42BEC754-C444-485D-8867-ABF77D41E924}</b:Guid>
    <b:Author>
      <b:Author>
        <b:NameList>
          <b:Person>
            <b:Last>Hernández</b:Last>
            <b:First>R.,</b:First>
            <b:Middle>Fernández, C.</b:Middle>
          </b:Person>
          <b:Person>
            <b:Last>Baptista</b:Last>
            <b:First>P.</b:First>
          </b:Person>
        </b:NameList>
      </b:Author>
    </b:Author>
    <b:Title>Fundamentos de metodología de la investigación</b:Title>
    <b:Year>2007</b:Year>
    <b:RefOrder>13</b:RefOrder>
  </b:Source>
  <b:Source>
    <b:Tag>Ari06</b:Tag>
    <b:SourceType>Book</b:SourceType>
    <b:Guid>{39811829-D93F-4F22-A515-116125F61B64}</b:Guid>
    <b:Author>
      <b:Author>
        <b:NameList>
          <b:Person>
            <b:Last>Arias</b:Last>
            <b:First>F.</b:First>
          </b:Person>
        </b:NameList>
      </b:Author>
    </b:Author>
    <b:Title> El proyecto de Investigación. Introducción a la metodología científica.,</b:Title>
    <b:Year>2006</b:Year>
    <b:City> Caracas</b:City>
    <b:Publisher> Editorial Episteme.</b:Publisher>
    <b:RefOrder>14</b:RefOrder>
  </b:Source>
  <b:Source>
    <b:Tag>Dou09</b:Tag>
    <b:SourceType>Book</b:SourceType>
    <b:Guid>{817B667E-8B20-460E-A587-28901BC298C3}</b:Guid>
    <b:Title> Conceptos básicos de la Metodología de la Investigación. </b:Title>
    <b:Year>2009</b:Year>
    <b:Author>
      <b:Author>
        <b:NameList>
          <b:Person>
            <b:Last>Doupovec</b:Last>
            <b:First>M.</b:First>
          </b:Person>
        </b:NameList>
      </b:Author>
    </b:Author>
    <b:Comments> http://metodologia02.blogspot.com/p/metodos-de-lainventigacion.html</b:Comments>
    <b:RefOrder>15</b:RefOrder>
  </b:Source>
  <b:Source>
    <b:Tag>Chá07</b:Tag>
    <b:SourceType>Book</b:SourceType>
    <b:Guid>{B0802DE5-43D1-4463-96A1-67790AE04790}</b:Guid>
    <b:Author>
      <b:Author>
        <b:NameList>
          <b:Person>
            <b:Last>Chávez</b:Last>
            <b:First>N.</b:First>
          </b:Person>
        </b:NameList>
      </b:Author>
    </b:Author>
    <b:Title>Introducción a la investigación educativa.</b:Title>
    <b:Year>2007</b:Year>
    <b:City> Maracaibo:</b:City>
    <b:Publisher> Gráfica González.</b:Publisher>
    <b:RefOrder>16</b:RefOrder>
  </b:Source>
  <b:Source>
    <b:Tag>Can10</b:Tag>
    <b:SourceType>JournalArticle</b:SourceType>
    <b:Guid>{32075B25-4B06-451C-91C8-8480613665AA}</b:Guid>
    <b:Title> Metodología de la investigación educativa:</b:Title>
    <b:JournalName> Investigación ex post facto</b:JournalName>
    <b:Year>2010</b:Year>
    <b:Author>
      <b:Author>
        <b:NameList>
          <b:Person>
            <b:Last>Cancela</b:Last>
            <b:First>R.</b:First>
          </b:Person>
          <b:Person>
            <b:Last>Cea</b:Last>
            <b:First>N.</b:First>
          </b:Person>
          <b:Person>
            <b:Last>Galindo</b:Last>
            <b:First>G.</b:First>
          </b:Person>
          <b:Person>
            <b:Last>Valilla</b:Last>
            <b:First>S.</b:First>
          </b:Person>
        </b:NameList>
      </b:Author>
    </b:Author>
    <b:Publisher>Universidad Autónoma de Madrid. </b:Publisher>
    <b:RefOrder>17</b:RefOrder>
  </b:Source>
  <b:Source>
    <b:Tag>MarcadorDePosición12</b:Tag>
    <b:SourceType>JournalArticle</b:SourceType>
    <b:Guid>{0217E856-74FD-4A38-8846-831E599464CB}</b:Guid>
    <b:Title>Inteligencia emocional y resiliencia en estudiantes de 5º de secundaria de una institución educativa pública del distrito de Chorrillos en el año 2017</b:Title>
    <b:JournalName>Universidad Nacional Federico Villarreal. Lima, Perú. Tesis de Maestria. http://repositorio.unfv.edu.pe/bitstream/handle/UNFV/4200/BENITES%20CASTRO%20MARIA%20ESTHER%20-%20MAESTRIA.pdf?sequence=1&amp;isAllowed=y</b:JournalName>
    <b:Year>2019</b:Year>
    <b:Author>
      <b:Author>
        <b:NameList>
          <b:Person>
            <b:Last>Benites</b:Last>
            <b:First>M</b:First>
          </b:Person>
        </b:NameList>
      </b:Author>
    </b:Author>
    <b:Pages>pp.95</b:Pages>
    <b:RefOrder>18</b:RefOrder>
  </b:Source>
  <b:Source>
    <b:Tag>Agu172</b:Tag>
    <b:SourceType>JournalArticle</b:SourceType>
    <b:Guid>{1CD3E2D1-BEE7-41F3-9DEB-68D3DD97A9FD}</b:Guid>
    <b:Title>Estrategias Para Potenciar la Inteligencia Emocional en Educación Infantil: Aplicación del Modelo de Mayer y Salovey</b:Title>
    <b:JournalName>Tendencias Pedagógicas. Nº 30. Universidad de Huelva. Dialnet-EstrategiasParaPotenciarLaInteligenciaEmocionalEnE-6164814.pdf</b:JournalName>
    <b:Year>2017</b:Year>
    <b:Pages>pp.1-16</b:Pages>
    <b:Author>
      <b:Author>
        <b:NameList>
          <b:Person>
            <b:Last>Aguaded</b:Last>
            <b:First>M</b:First>
          </b:Person>
          <b:Person>
            <b:Last>Valencia</b:Last>
            <b:First>J</b:First>
          </b:Person>
        </b:NameList>
      </b:Author>
    </b:Author>
    <b:RefOrder>19</b:RefOrder>
  </b:Source>
  <b:Source>
    <b:Tag>Mar174</b:Tag>
    <b:SourceType>JournalArticle</b:SourceType>
    <b:Guid>{46E3EDD0-8149-4C39-BB4E-D14FD18C7973}</b:Guid>
    <b:Title>Propiedades Psicométricas de la Escala de Resiliencia en adolescentes de Nuevo Chimbote</b:Title>
    <b:JournalName>Universidad Cesar Vallejo. Chimbote, Perú. Trabajo de Grado. https://repositorio.ucv.edu.pe/bitstream/handle/20.500.12692/10286/davila_md.pdf?sequence=1</b:JournalName>
    <b:Year>2017</b:Year>
    <b:Pages>pp.52</b:Pages>
    <b:Author>
      <b:Author>
        <b:NameList>
          <b:Person>
            <b:Last>Martínez</b:Last>
            <b:First>D</b:First>
          </b:Person>
        </b:NameList>
      </b:Author>
    </b:Author>
    <b:RefOrder>20</b:RefOrder>
  </b:Source>
  <b:Source>
    <b:Tag>Cej17</b:Tag>
    <b:SourceType>JournalArticle</b:SourceType>
    <b:Guid>{D029FA67-FF4F-4503-8023-9E4ECBEF1FC8}</b:Guid>
    <b:Title>Importancia de la inteligencia emocional en la práctica docente: un estudio con maestros</b:Title>
    <b:JournalName>Revista Psicologia de la Educativa. Vol. 23. Núm. 1.https://doi.org/10.1016/j.pse.2016.11.001.  https://journals.copmadrid.org/psed/art/j.pse.2016.11.001</b:JournalName>
    <b:Year>2017</b:Year>
    <b:Pages>pp. 29-36</b:Pages>
    <b:Author>
      <b:Author>
        <b:NameList>
          <b:Person>
            <b:Last>Cejudo</b:Last>
            <b:First>J</b:First>
          </b:Person>
          <b:Person>
            <b:Last>López</b:Last>
            <b:First>M</b:First>
          </b:Person>
        </b:NameList>
      </b:Author>
    </b:Author>
    <b:RefOrder>21</b:RefOrder>
  </b:Source>
  <b:Source>
    <b:Tag>Bis17</b:Tag>
    <b:SourceType>JournalArticle</b:SourceType>
    <b:Guid>{E8D749FD-921F-489C-A5E2-C4995A23B3C8}</b:Guid>
    <b:Title>La educación emocional en la infancia</b:Title>
    <b:JournalName>Universitat de Barcelona. España.https://dialnet.unirioja.es/servlet/autor?codigo=89078</b:JournalName>
    <b:Year>2017</b:Year>
    <b:Author>
      <b:Author>
        <b:NameList>
          <b:Person>
            <b:Last>Bisquerra</b:Last>
            <b:First>R</b:First>
          </b:Person>
        </b:NameList>
      </b:Author>
    </b:Author>
    <b:RefOrder>22</b:RefOrder>
  </b:Source>
  <b:Source>
    <b:Tag>Fer174</b:Tag>
    <b:SourceType>JournalArticle</b:SourceType>
    <b:Guid>{C1A9A0C0-6A53-478B-81EF-85E458508550}</b:Guid>
    <b:Title>Análisis de la resiliencia, ansiedad y lesión deportiva en fútbol según el nivel competitivo</b:Title>
    <b:JournalName>Cultura, ciencia y deporte, ISSN 1696-5043, Vol. 12, Nº. 35. Universidad de Granada. https://dialnet.unirioja.es/servlet/articulo?codigo=6080179</b:JournalName>
    <b:Year>2017</b:Year>
    <b:Pages>pp. 135-142</b:Pages>
    <b:Author>
      <b:Author>
        <b:NameList>
          <b:Person>
            <b:Last>Fernández</b:Last>
            <b:First>S</b:First>
          </b:Person>
          <b:Person>
            <b:Last>Extremera</b:Last>
            <b:First>M</b:First>
          </b:Person>
          <b:Person>
            <b:Last>et al</b:Last>
          </b:Person>
        </b:NameList>
      </b:Author>
    </b:Author>
    <b:RefOrder>23</b:RefOrder>
  </b:Source>
  <b:Source>
    <b:Tag>Aya191</b:Tag>
    <b:SourceType>JournalArticle</b:SourceType>
    <b:Guid>{F39C4262-E8B1-404F-91DE-68BDA2EE4DFE}</b:Guid>
    <b:Title>Inteligencia Emocional y Resiliencia en Estudiantes de tercero, cuarto y quinto grado de secundaria de la Institución Educativa Privada Luz y Ciencia de la Ciudad de Juliaca, 2019</b:Title>
    <b:Year>2019</b:Year>
    <b:Author>
      <b:Author>
        <b:NameList>
          <b:Person>
            <b:Last>Ayacho</b:Last>
            <b:First>E</b:First>
          </b:Person>
          <b:Person>
            <b:Last>Coaquira</b:Last>
            <b:First>J</b:First>
          </b:Person>
        </b:NameList>
      </b:Author>
    </b:Author>
    <b:RefOrder>24</b:RefOrder>
  </b:Source>
  <b:Source>
    <b:Tag>Gus151</b:Tag>
    <b:SourceType>JournalArticle</b:SourceType>
    <b:Guid>{2838AAE8-4E6F-48EC-97DF-63B02169E203}</b:Guid>
    <b:Author>
      <b:Author>
        <b:NameList>
          <b:Person>
            <b:Last>Gushñay</b:Last>
            <b:First>Johanna</b:First>
            <b:Middle>Alexandra Lucero</b:Middle>
          </b:Person>
        </b:NameList>
      </b:Author>
    </b:Author>
    <b:Title>Pedagogía de la voz: Guía Didáctica para la selección de Voces,  Solistas, Coro y Géneros Vocales.</b:Title>
    <b:JournalName>Universidad de Cuenca</b:JournalName>
    <b:Year>2015</b:Year>
    <b:URL>https://dspace.ucuenca.edu.ec/bitstream/123456789/23237/1/tesis.pdf</b:URL>
    <b:Pages>(1)1-205</b:Pages>
    <b:RefOrder>1</b:RefOrder>
  </b:Source>
  <b:Source>
    <b:Tag>Est161</b:Tag>
    <b:SourceType>JournalArticle</b:SourceType>
    <b:Guid>{51366007-2358-4B2A-9202-C8216F67B936}</b:Guid>
    <b:Author>
      <b:Author>
        <b:NameList>
          <b:Person>
            <b:Last>Estrada</b:Last>
            <b:First>Asier</b:First>
          </b:Person>
        </b:NameList>
      </b:Author>
    </b:Author>
    <b:Title>Las Canciones Infantiles como Herramienta en la etapa (0-6)</b:Title>
    <b:JournalName>Universidad de Cantabria</b:JournalName>
    <b:Year>2016</b:Year>
    <b:Pages>(1)1-56</b:Pages>
    <b:URL>epositorio.unican.es/xmlui/bitstream/handle/10902/8640/EstradaTorreAsier.pdf?sequence=1</b:URL>
    <b:RefOrder>2</b:RefOrder>
  </b:Source>
  <b:Source>
    <b:Tag>Rod141</b:Tag>
    <b:SourceType>JournalArticle</b:SourceType>
    <b:Guid>{C4ED9E97-E07B-44B3-A830-619F6DBA8625}</b:Guid>
    <b:Author>
      <b:Author>
        <b:NameList>
          <b:Person>
            <b:Last>Rodríguez</b:Last>
            <b:First>Andrea</b:First>
            <b:Middle>María Vides</b:Middle>
          </b:Person>
        </b:NameList>
      </b:Author>
    </b:Author>
    <b:Title>El canto como estrategia facilitadora del proceso enseñanza aprendizaje</b:Title>
    <b:JournalName>Universidad Rafael Landívar</b:JournalName>
    <b:Year>2014</b:Year>
    <b:Pages>(1)1-87</b:Pages>
    <b:URL>http://biblio3.url.edu.gt/Tesario/2014/05/84/Vides-Andrea.pdf</b:URL>
    <b:RefOrder>3</b:RefOrder>
  </b:Source>
  <b:Source>
    <b:Tag>Ant17</b:Tag>
    <b:SourceType>JournalArticle</b:SourceType>
    <b:Guid>{1D4D1ACC-13E6-4680-B79E-64CF3647F1CF}</b:Guid>
    <b:Title>El sentido de la educación musical en una educación concebida como motor de la economía del conocimiento: una propuesta de marco filosófico</b:Title>
    <b:JournalName>Revista Electrónica Complutense de Investigación en Educación Musical</b:JournalName>
    <b:Year>2017</b:Year>
    <b:Pages>(14) 95-107.</b:Pages>
    <b:Author>
      <b:Author>
        <b:NameList>
          <b:Person>
            <b:Last>Jiménez</b:Last>
            <b:First>Antonio</b:First>
            <b:Middle>Fernández</b:Middle>
          </b:Person>
          <b:Person>
            <b:Last>Jorquera-Jaramillo</b:Last>
            <b:First>María-Cecilia</b:First>
          </b:Person>
        </b:NameList>
      </b:Author>
    </b:Author>
    <b:DOI>http://dx.doi.org/10.5209/RECIEM.54834</b:DOI>
    <b:RefOrder>4</b:RefOrder>
  </b:Source>
  <b:Source>
    <b:Tag>Suá</b:Tag>
    <b:SourceType>JournalArticle</b:SourceType>
    <b:Guid>{EECD0389-6B3B-436C-982A-FDD8A4484EEA}</b:Guid>
    <b:Author>
      <b:Author>
        <b:NameList>
          <b:Person>
            <b:Last>Suárez</b:Last>
            <b:First>Audin</b:First>
            <b:Middle>Aloiso Gamboa</b:Middle>
          </b:Person>
        </b:NameList>
      </b:Author>
    </b:Author>
    <b:Title>Educación musical: Escenario para la formación del sujeto o un pariente pobre de los currículos escolares</b:Title>
    <b:JournalName>Saber Ciencia y Libertad</b:JournalName>
    <b:Pages>12 (1) 211-220</b:Pages>
    <b:URL>https://revistamusicalchilena.uchile.cl/index.php/RMCH/article/viewFile/13459/13728</b:URL>
    <b:Year>2016</b:Year>
    <b:RefOrder>5</b:RefOrder>
  </b:Source>
  <b:Source>
    <b:Tag>Car172</b:Tag>
    <b:SourceType>JournalArticle</b:SourceType>
    <b:Guid>{D63B1C28-7458-4684-B584-9F594874FE58}</b:Guid>
    <b:Title>Educación Musical Escolar en las Américas: Condiciones, Prácticas, y Políticas desde una Perspectiva Socio-Ecológica</b:Title>
    <b:JournalName>Revista Electrónica Complutense de Investigación en Educación Musical</b:JournalName>
    <b:Year>2017</b:Year>
    <b:Pages>(14) 29-45</b:Pages>
    <b:Author>
      <b:Author>
        <b:NameList>
          <b:Person>
            <b:Last>Abril</b:Last>
            <b:First>Carlos</b:First>
          </b:Person>
          <b:Person>
            <b:Last>Abril</b:Last>
            <b:First>Johanna</b:First>
          </b:Person>
        </b:NameList>
      </b:Author>
    </b:Author>
    <b:DOI>http://dx.doi.org/10.5209/RECIEM.57178</b:DOI>
    <b:RefOrder>6</b:RefOrder>
  </b:Source>
  <b:Source>
    <b:Tag>Org2013</b:Tag>
    <b:SourceType>JournalArticle</b:SourceType>
    <b:Guid>{F238E2C2-F9BE-4D83-AB58-DBADD4F41B25}</b:Guid>
    <b:Author>
      <b:Author>
        <b:Corporate>Organización de Estados Iberoamericanos OEI</b:Corporate>
      </b:Author>
    </b:Author>
    <b:Title>Estado de la educación musical </b:Title>
    <b:JournalName>sitio Web oficial </b:JournalName>
    <b:Year>2020</b:Year>
    <b:URL>https://oei.int/oficinas/ecuador/noticias</b:URL>
    <b:RefOrder>7</b:RefOrder>
  </b:Source>
  <b:Source>
    <b:Tag>Rol18</b:Tag>
    <b:SourceType>JournalArticle</b:SourceType>
    <b:Guid>{194F78AC-B9E6-43D5-A5EC-04778BF92ABF}</b:Guid>
    <b:Author>
      <b:Author>
        <b:NameList>
          <b:Person>
            <b:Last>Rolando</b:Last>
            <b:First>Angel</b:First>
            <b:Middle>Alvarado</b:Middle>
          </b:Person>
        </b:NameList>
      </b:Author>
    </b:Author>
    <b:Title>La crisis de la educación musical como consecuencia de la decadencia de la institución educativa</b:Title>
    <b:JournalName>Revistade educación </b:JournalName>
    <b:Year>2018</b:Year>
    <b:Pages>42 (2) 1 -12</b:Pages>
    <b:DOI>https://doi.org/10.15517/revedu.v42i2.29055</b:DOI>
    <b:RefOrder>8</b:RefOrder>
  </b:Source>
  <b:Source>
    <b:Tag>Mor201</b:Tag>
    <b:SourceType>JournalArticle</b:SourceType>
    <b:Guid>{65846F3F-E8B9-4E0D-BD0F-1CE171DC9800}</b:Guid>
    <b:Author>
      <b:Author>
        <b:NameList>
          <b:Person>
            <b:Last>Morillo</b:Last>
            <b:First>Génesis</b:First>
            <b:Middle>LisbethAyala</b:Middle>
          </b:Person>
          <b:Person>
            <b:Last>Cedeño</b:Last>
            <b:First>Letty</b:First>
            <b:Middle>AraceliDelgado</b:Middle>
          </b:Person>
          <b:Person>
            <b:Last>Mieles</b:Last>
            <b:First>José</b:First>
            <b:Middle>GrismaldoPico</b:Middle>
          </b:Person>
        </b:NameList>
      </b:Author>
    </b:Author>
    <b:Title>La música como medio de enseñanza aprendizaje de los nuiños del centro de educación inicial Gabriela Mistral</b:Title>
    <b:JournalName>Revista Cognosis</b:JournalName>
    <b:Year>2020</b:Year>
    <b:Pages>5 (2) 1-14</b:Pages>
    <b:URL>https://revistas.utm.edu.ec/index.php/Cognosis/article/view/1968/2607</b:URL>
    <b:RefOrder>9</b:RefOrder>
  </b:Source>
  <b:Source>
    <b:Tag>MarcadorDePosición13</b:Tag>
    <b:SourceType>JournalArticle</b:SourceType>
    <b:Guid>{FFE99813-E19D-49BC-8869-1DE31BCB6267}</b:Guid>
    <b:Author>
      <b:Author>
        <b:NameList>
          <b:Person>
            <b:Last>Espinoza</b:Last>
            <b:First>Manuel</b:First>
            <b:Middle>Alejandro Velecela</b:Middle>
          </b:Person>
        </b:NameList>
      </b:Author>
    </b:Author>
    <b:Title>La educación musical en la formación integral de los niños</b:Title>
    <b:JournalName>Revista de investigación y pedagogía del arte</b:JournalName>
    <b:Year>2020</b:Year>
    <b:Pages>(7) 1-10</b:Pages>
    <b:URL>https://publicaciones.ucuenca.edu.ec/ojs/index.php/revpos/article/download/3018/2063/</b:URL>
    <b:RefOrder>10</b:RefOrder>
  </b:Source>
  <b:Source>
    <b:Tag>Gor18</b:Tag>
    <b:SourceType>JournalArticle</b:SourceType>
    <b:Guid>{B7EF3711-CC94-4757-8FE1-AF37E8C59BAC}</b:Guid>
    <b:Author>
      <b:Author>
        <b:NameList>
          <b:Person>
            <b:Last>Gordon</b:Last>
            <b:First>Floralba</b:First>
            <b:Middle>del Rocío Aguilar</b:Middle>
          </b:Person>
          <b:Person>
            <b:Last>Marín</b:Last>
            <b:First>Daniela</b:First>
            <b:Middle>Alejandra Villacís</b:Middle>
          </b:Person>
          <b:Person>
            <b:Last>Flores</b:Last>
            <b:First>Steven</b:First>
            <b:Middle>Marco Narváez</b:Middle>
          </b:Person>
        </b:NameList>
      </b:Author>
    </b:Author>
    <b:Title>Al mismo tiempo La educación musical como herramienta para el desarrollo de destrezas y habilidades en los estudiantes</b:Title>
    <b:Year>2018</b:Year>
    <b:Pages>9(11) 1-13</b:Pages>
    <b:DOI>https://doi.org/10.29019/tsafiqui.v0i11.484</b:DOI>
    <b:RefOrder>11</b:RefOrder>
  </b:Source>
  <b:Source>
    <b:Tag>Día142</b:Tag>
    <b:SourceType>JournalArticle</b:SourceType>
    <b:Guid>{E8FB09DA-C02F-4959-B3DF-34AF233DFC1E}</b:Guid>
    <b:Author>
      <b:Author>
        <b:NameList>
          <b:Person>
            <b:Last>Díaz</b:Last>
            <b:First>Maritza</b:First>
            <b:Middle>Liliana</b:Middle>
          </b:Person>
          <b:Person>
            <b:Last>Bopp</b:Last>
            <b:First>Rocío</b:First>
            <b:Middle>Morales</b:Middle>
          </b:Person>
          <b:Person>
            <b:Last>Gamba</b:Last>
            <b:First>Wilson</b:First>
            <b:Middle>Díaz</b:Middle>
          </b:Person>
        </b:NameList>
      </b:Author>
    </b:Author>
    <b:Title>La música como recurso pedagógico en la edad preescolar</b:Title>
    <b:JournalName>Revista Infancias Imágenes</b:JournalName>
    <b:Year>2014</b:Year>
    <b:Pages>13  (11) 2-108</b:Pages>
    <b:URL>https://dialnet.unirioja.es/descarga/articulo/4997162.pdf</b:URL>
    <b:RefOrder>12</b:RefOrder>
  </b:Source>
  <b:Source>
    <b:Tag>Ant16</b:Tag>
    <b:SourceType>JournalArticle</b:SourceType>
    <b:Guid>{EBC03227-D62E-46D9-9A90-32D3A12C0130}</b:Guid>
    <b:Author>
      <b:Author>
        <b:NameList>
          <b:Person>
            <b:Last>Ante</b:Last>
            <b:First>Erika</b:First>
            <b:Middle>Maribel Sigcha</b:Middle>
          </b:Person>
          <b:Person>
            <b:Last>Barragán</b:Last>
            <b:First>María</b:First>
            <b:Middle>Fernanda Constante</b:Middle>
          </b:Person>
          <b:Person>
            <b:Last>Gallardo</b:Last>
            <b:First>Yolanda</b:First>
            <b:Middle>Paola Defaz</b:Middle>
          </b:Person>
          <b:Person>
            <b:Last>Cantuña</b:Last>
            <b:First>Johana</b:First>
            <b:Middle>Trávez</b:Middle>
          </b:Person>
          <b:Person>
            <b:Last>Catasú</b:Last>
            <b:First>Wilma</b:First>
            <b:Middle>Ceiro</b:Middle>
          </b:Person>
        </b:NameList>
      </b:Author>
    </b:Author>
    <b:Title>la expresión musical como herramienta para el desarrollo integral en la educación infantil</b:Title>
    <b:JournalName>Didáctica y Educación</b:JournalName>
    <b:Year>2016</b:Year>
    <b:Pages>(6) 1-18</b:Pages>
    <b:URL>https://revistas.ute.edu.ec/index.php/tsafiqui/article/view/484</b:URL>
    <b:RefOrder>13</b:RefOrder>
  </b:Source>
  <b:Source>
    <b:Tag>MarcadorDePosición14</b:Tag>
    <b:SourceType>JournalArticle</b:SourceType>
    <b:Guid>{0D05EDF0-5170-4768-A9FF-B6D1A9E17078}</b:Guid>
    <b:Author>
      <b:Author>
        <b:NameList>
          <b:Person>
            <b:Last>Aguilera</b:Last>
            <b:First>Carmen</b:First>
            <b:Middle>Carrillo</b:Middle>
          </b:Person>
          <b:Person>
            <b:Last>Vallverdú</b:Last>
            <b:First>Laia</b:First>
            <b:Middle>Viladot</b:Middle>
          </b:Person>
          <b:Person>
            <b:Last>Pérez-Moreno</b:Last>
            <b:First>Jéssica</b:First>
          </b:Person>
        </b:NameList>
      </b:Author>
    </b:Author>
    <b:Title>Impacto de la educación musical: una revisión de la literatura científica</b:Title>
    <b:JournalName>Revista Electrónica Complutense de Investigación en Educación Musical</b:JournalName>
    <b:Year>2017</b:Year>
    <b:Pages>(14) 61-74</b:Pages>
    <b:DOI>http://dx.doi.org/10.5209/RECIEM.54828</b:DOI>
    <b:RefOrder>14</b:RefOrder>
  </b:Source>
  <b:Source>
    <b:Tag>Car173</b:Tag>
    <b:SourceType>JournalArticle</b:SourceType>
    <b:Guid>{AD210893-A3D8-4ECB-99E9-AD151FEB0878}</b:Guid>
    <b:Author>
      <b:Author>
        <b:NameList>
          <b:Person>
            <b:Last>Carrasco</b:Last>
            <b:First>Ana</b:First>
            <b:Middle>M. Vernia</b:Middle>
          </b:Person>
        </b:NameList>
      </b:Author>
    </b:Author>
    <b:Title>La Educación Musical en España. Triste realidad y esperanza para el cambio.</b:Title>
    <b:JournalName>Universidad Jaume</b:JournalName>
    <b:Year>2017</b:Year>
    <b:Pages>(1) 1-8</b:Pages>
    <b:URL>https://www.isme.org/sites/default/files/documents/2017.Spanish.pdf</b:URL>
    <b:RefOrder>15</b:RefOrder>
  </b:Source>
  <b:Source>
    <b:Tag>Ced181</b:Tag>
    <b:SourceType>JournalArticle</b:SourceType>
    <b:Guid>{2C5B380B-E855-44B2-8C90-C4A5240DCBF2}</b:Guid>
    <b:Author>
      <b:Author>
        <b:NameList>
          <b:Person>
            <b:Last>Cedeño</b:Last>
            <b:First>Andrea</b:First>
            <b:Middle>K. Alcivar</b:Middle>
          </b:Person>
          <b:Person>
            <b:Last>Sornoza</b:Last>
            <b:First>Johanna</b:First>
            <b:Middle>Zambrano</b:Middle>
          </b:Person>
          <b:Person>
            <b:Last>Mendoza</b:Last>
            <b:First>Juan</b:First>
            <b:Middle>Cruz</b:Middle>
          </b:Person>
        </b:NameList>
      </b:Author>
    </b:Author>
    <b:Title>La enseñanza de la música. Una estrategia pedagógica para la educación inclusiva</b:Title>
    <b:JournalName>Polo del conocimiento</b:JournalName>
    <b:Year>2018</b:Year>
    <b:Pages>28 (3) 135-148</b:Pages>
    <b:DOI>10.23857/pc.v3i12.820</b:DOI>
    <b:RefOrder>16</b:RefOrder>
  </b:Source>
  <b:Source>
    <b:Tag>Jim11</b:Tag>
    <b:SourceType>JournalArticle</b:SourceType>
    <b:Guid>{A71137F3-33B0-4CF6-8156-8999C6A667F6}</b:Guid>
    <b:Author>
      <b:Author>
        <b:NameList>
          <b:Person>
            <b:Last>Jiménez</b:Last>
            <b:First>Gabriela</b:First>
          </b:Person>
          <b:Person>
            <b:Last>Ramirez</b:Last>
            <b:First>Delia</b:First>
          </b:Person>
        </b:NameList>
      </b:Author>
    </b:Author>
    <b:Title>Las Canciones Como Estrategia Para El Aprendizaje De Los Números Naturales Del 1 Al 5 En Niños De 4 Años Del Cercado Del Distrito De San Agustín De Cajas</b:Title>
    <b:JournalName>Universidad Nacional del Centro del Perú</b:JournalName>
    <b:Year>2011</b:Year>
    <b:Pages>(1) 1-148</b:Pages>
    <b:URL>http://repositorio.uncp.edu.pe/bitstream/handle/UNCP/2900/Jimenez%20Quispe.pdf?sequence=1&amp;isAllowed=y</b:URL>
    <b:RefOrder>17</b:RefOrder>
  </b:Source>
  <b:Source>
    <b:Tag>Gar122</b:Tag>
    <b:SourceType>JournalArticle</b:SourceType>
    <b:Guid>{5A9C4DB0-0ADA-4788-A2C2-CC4AF5C04757}</b:Guid>
    <b:Author>
      <b:Author>
        <b:NameList>
          <b:Person>
            <b:Last>García</b:Last>
            <b:First>Marcela</b:First>
            <b:Middle>Amaya</b:Middle>
          </b:Person>
          <b:Person>
            <b:Last>Corrales</b:Last>
            <b:First>Mercedes</b:First>
            <b:Middle>Mardones</b:Middle>
          </b:Person>
        </b:NameList>
      </b:Author>
    </b:Author>
    <b:Title>La música como estrategia didáctica para la enseñanza de una segunda lengua: una revisión teórica</b:Title>
    <b:JournalName>Foro educacional</b:JournalName>
    <b:Year>2012</b:Year>
    <b:Pages>(1) 55-76</b:Pages>
    <b:URL>https://repositorio.une.edu.pe/handle/UNE/1863</b:URL>
    <b:RefOrder>18</b:RefOrder>
  </b:Source>
  <b:Source>
    <b:Tag>Rey173</b:Tag>
    <b:SourceType>JournalArticle</b:SourceType>
    <b:Guid>{CE701BCB-7F40-45DE-A33C-CB969B660D74}</b:Guid>
    <b:Author>
      <b:Author>
        <b:NameList>
          <b:Person>
            <b:Last>Reyes</b:Last>
            <b:First>Dina</b:First>
            <b:Middle>Aracelli</b:Middle>
          </b:Person>
          <b:Person>
            <b:Last>González</b:Last>
            <b:First>Karla</b:First>
            <b:Middle>Vanessa Pérez</b:Middle>
          </b:Person>
        </b:NameList>
      </b:Author>
    </b:Author>
    <b:Title>Implementación del canto como actividad lúdica para, el desarrollo integral de los niños y niñas de infantes</b:Title>
    <b:JournalName>Universidad Autónoma de Nicaragua</b:JournalName>
    <b:Year>2017</b:Year>
    <b:Pages>(1) 1-110</b:Pages>
    <b:URL>https://repositorio.unan.edu.ni/3835/1/51785.pdf</b:URL>
    <b:RefOrder>19</b:RefOrder>
  </b:Source>
  <b:Source>
    <b:Tag>Pin181</b:Tag>
    <b:SourceType>JournalArticle</b:SourceType>
    <b:Guid>{7F5949EE-46B1-458E-98CD-0754D5CBFF3D}</b:Guid>
    <b:Author>
      <b:Author>
        <b:NameList>
          <b:Person>
            <b:Last>Pinto</b:Last>
            <b:First>Iris</b:First>
            <b:Middle>Albina Rios</b:Middle>
          </b:Person>
          <b:Person>
            <b:Last>Rojas</b:Last>
            <b:First>Jackeline</b:First>
            <b:Middle>Julisa</b:Middle>
          </b:Person>
        </b:NameList>
      </b:Author>
    </b:Author>
    <b:Title>La canción como estrategia didáctica para el logro del desarrollo de la expresión oral en los estudiantes del segundo grado de primaria</b:Title>
    <b:JournalName>Universidad Naciona de educación</b:JournalName>
    <b:Year>2018</b:Year>
    <b:Pages>(1) 1-190</b:Pages>
    <b:URL>http://181.176.163.136/bitstream/handle/UNAP/6925/Arcaya_Juli_Yeny_Yaneth_Flores_Llanque_Mariela.pdf?sequence=1&amp;isAllowed=y</b:URL>
    <b:RefOrder>20</b:RefOrder>
  </b:Source>
  <b:Source>
    <b:Tag>Ame141</b:Tag>
    <b:SourceType>JournalArticle</b:SourceType>
    <b:Guid>{62993FEC-2F29-4B20-8AA2-A7F3FC179743}</b:Guid>
    <b:Author>
      <b:Author>
        <b:NameList>
          <b:Person>
            <b:Last>Amezua</b:Last>
            <b:First>Sara</b:First>
            <b:Middle>Alfonso</b:Middle>
          </b:Person>
        </b:NameList>
      </b:Author>
    </b:Author>
    <b:Title>Importancia de la educación musical en la educación músical en al educación infantil</b:Title>
    <b:JournalName>Universidad de la Rioja</b:JournalName>
    <b:Year>2014</b:Year>
    <b:Pages>(1) 1-50</b:Pages>
    <b:URL>https://reunir.unir.net/bitstream/handle/123456789/2494/alfonso.amezua.pdf?sequence=1&amp;isAllowed=y</b:URL>
    <b:RefOrder>21</b:RefOrder>
  </b:Source>
  <b:Source>
    <b:Tag>Mol142</b:Tag>
    <b:SourceType>JournalArticle</b:SourceType>
    <b:Guid>{90AB7311-36D8-4301-8A07-F034409131B9}</b:Guid>
    <b:Author>
      <b:Author>
        <b:NameList>
          <b:Person>
            <b:Last>Molina</b:Last>
            <b:First>Mª</b:First>
            <b:Middle>Teresa García</b:Middle>
          </b:Person>
          <b:Person>
            <b:Last>García</b:Last>
            <b:First>María</b:First>
            <b:Middle>Sara Román</b:Middle>
          </b:Person>
        </b:NameList>
      </b:Author>
    </b:Author>
    <b:Title>La importancia de la música para el desarrollo integral en la etapa de Infantil</b:Title>
    <b:Year>2014</b:Year>
    <b:Pages>(1)1-73</b:Pages>
    <b:URL>https://rodin.uca.es/xmlui/bitstream/handle/10498/16696/16696.pdf</b:URL>
    <b:RefOrder>22</b:RefOrder>
  </b:Source>
  <b:Source>
    <b:Tag>MarcadorDePosición15</b:Tag>
    <b:SourceType>JournalArticle</b:SourceType>
    <b:Guid>{B91F8185-74A0-4DDE-A0E2-4BABBCFAD705}</b:Guid>
    <b:Author>
      <b:Author>
        <b:NameList>
          <b:Person>
            <b:Last>Vega</b:Last>
            <b:First>Lizeth</b:First>
            <b:Middle>Viviana</b:Middle>
          </b:Person>
        </b:NameList>
      </b:Author>
    </b:Author>
    <b:Title>Mi recorrido. Un ejercicio auto etnográfico de relación entre la tradición y la educación formal para el canto</b:Title>
    <b:JournalName>Universidad Pedagógica Nacional</b:JournalName>
    <b:Year>2020</b:Year>
    <b:Pages>(1) 1 -102</b:Pages>
    <b:URL>http://repository.pedagogica.edu.co/bitstream/handle/20.500.12209/12871</b:URL>
    <b:RefOrder>23</b:RefOrder>
  </b:Source>
  <b:Source>
    <b:Tag>Est15</b:Tag>
    <b:SourceType>JournalArticle</b:SourceType>
    <b:Guid>{249BD6E1-0896-4BC6-845A-6ADFB22BA2F8}</b:Guid>
    <b:Title>DOCENCIA EN EDUCACIÓN VOCAL Y CANTO: ADAPTACIÓN A LAS NECESIDADES DEL AULA</b:Title>
    <b:JournalName>EDETANIA</b:JournalName>
    <b:Year>2015</b:Year>
    <b:Pages>(47)205-219</b:Pages>
    <b:Author>
      <b:Author>
        <b:NameList>
          <b:Person>
            <b:Last>Palomo</b:Last>
            <b:First>Esther</b:First>
            <b:Middle>Ruiz</b:Middle>
          </b:Person>
          <b:Person>
            <b:Last>Cámara</b:Last>
            <b:First>Carmen</b:First>
            <b:Middle>Palmero</b:Middle>
          </b:Person>
          <b:Person>
            <b:Last>Martínez</b:Last>
            <b:First>Vanesa</b:First>
            <b:Middle>Baños</b:Middle>
          </b:Person>
        </b:NameList>
      </b:Author>
    </b:Author>
    <b:URL>https://dialnet.unirioja.es/descarga/articulo/5349042.pdf</b:URL>
    <b:RefOrder>24</b:RefOrder>
  </b:Source>
  <b:Source>
    <b:Tag>Jos19</b:Tag>
    <b:SourceType>JournalArticle</b:SourceType>
    <b:Guid>{8D7744A6-002A-4058-9341-315EA10331A8}</b:Guid>
    <b:Title>Pautas para la aplicación de métodos de enseñanza musical desde un enfoque constructivista</b:Title>
    <b:JournalName>Revista electrónica de investigación educativa</b:JournalName>
    <b:Year>2019</b:Year>
    <b:Pages>19(3), 143-157</b:Pages>
    <b:Author>
      <b:Author>
        <b:NameList>
          <b:Person>
            <b:Last>Solís</b:Last>
            <b:First>José</b:First>
            <b:Middle>Luis Navarro</b:Middle>
          </b:Person>
        </b:NameList>
      </b:Author>
    </b:Author>
    <b:DOI>https://doi.org/10.24320/redie.2017.19.3.675 </b:DOI>
    <b:RefOrder>25</b:RefOrder>
  </b:Source>
  <b:Source>
    <b:Tag>MAR19</b:Tag>
    <b:SourceType>JournalArticle</b:SourceType>
    <b:Guid>{C51B1202-2C99-45E8-9818-1E8FB82BAF5F}</b:Guid>
    <b:Author>
      <b:Author>
        <b:NameList>
          <b:Person>
            <b:Last>MARQUEZ</b:Last>
            <b:First>ROGER</b:First>
            <b:Middle>ELISBAN PERLACIO</b:Middle>
          </b:Person>
        </b:NameList>
      </b:Author>
    </b:Author>
    <b:Title>LA MÚSICA TRADICIONAL COMO RECURSO DIDÁCTICO EN EL PROCESO DE APRENDIZAJE Y FORMACIÓN EN EIB</b:Title>
    <b:Year>2019</b:Year>
    <b:Pages>1-107</b:Pages>
    <b:URL>http://repositorio.usil.edu.pe/bitstream/USIL/9200/3/2019_Perlacio-Marquez.pdf</b:URL>
    <b:RefOrder>26</b:RefOrder>
  </b:Source>
  <b:Source>
    <b:Tag>Tej19</b:Tag>
    <b:SourceType>JournalArticle</b:SourceType>
    <b:Guid>{84E22954-1A90-4747-A9FC-32660A7BCCD2}</b:Guid>
    <b:Author>
      <b:Author>
        <b:NameList>
          <b:Person>
            <b:Last>Tejada</b:Last>
            <b:First>Jesús</b:First>
          </b:Person>
          <b:Person>
            <b:Last>Thayer</b:Last>
            <b:First>Tomás</b:First>
          </b:Person>
          <b:Person>
            <b:Last>Arenas</b:Last>
            <b:First>Mario</b:First>
          </b:Person>
        </b:NameList>
      </b:Author>
    </b:Author>
    <b:Title>EL DESEMPEÑO DOCENTE EN EDUCACIÓN MUSICAL DEL PROFESORADO GENERALISTA DE CHILE. UN  ESTUDIO MIXTO EXPLORATORIO</b:Title>
    <b:JournalName>DIDACTICAE</b:JournalName>
    <b:Year>2019</b:Year>
    <b:Pages>7, 30-56</b:Pages>
    <b:URL>DOI: 10.1344/did.2020.7.30-56</b:URL>
    <b:RefOrder>27</b:RefOrder>
  </b:Source>
  <b:Source>
    <b:Tag>Jua19</b:Tag>
    <b:SourceType>JournalArticle</b:SourceType>
    <b:Guid>{69E42D2E-6DA5-4FB1-B85B-C12B380782BF}</b:Guid>
    <b:Title>Revista electrónica Leeme</b:Title>
    <b:JournalName>¿A quién le importa el canto en el aula? Estudio basado en un cuestionario</b:JournalName>
    <b:Year>2019</b:Year>
    <b:Pages>(44)1-23</b:Pages>
    <b:Author>
      <b:Author>
        <b:NameList>
          <b:Person>
            <b:Last>Muñoz</b:Last>
            <b:First>Juan</b:First>
            <b:Middle>Rafael Muñoz</b:Middle>
          </b:Person>
        </b:NameList>
      </b:Author>
    </b:Author>
    <b:DOI>doi: 10.7203/LEEME.44.15631</b:DOI>
    <b:RefOrder>28</b:RefOrder>
  </b:Source>
  <b:Source>
    <b:Tag>Gua17</b:Tag>
    <b:SourceType>JournalArticle</b:SourceType>
    <b:Guid>{CA61A506-CAAA-4AA2-835A-BAC155E2AA8A}</b:Guid>
    <b:Author>
      <b:Author>
        <b:NameList>
          <b:Person>
            <b:Last>Gual</b:Last>
            <b:First>Llorenç</b:First>
            <b:Middle>Gelabert</b:Middle>
          </b:Person>
        </b:NameList>
      </b:Author>
    </b:Author>
    <b:Title>La práctica del canto colectivo como eje transversal de conocimientos actitudes y valores: una propuesta dirigida a alumnos de Grado en Educación Infantil y Primaria</b:Title>
    <b:JournalName>Foro de Educación</b:JournalName>
    <b:Year>2017</b:Year>
    <b:Pages>15  (22) 1-21</b:Pages>
    <b:DOI>doi: http://dx.doi.org/10.14516/fde.505</b:DOI>
    <b:RefOrder>29</b:RefOrder>
  </b:Source>
  <b:Source>
    <b:Tag>Mol143</b:Tag>
    <b:SourceType>JournalArticle</b:SourceType>
    <b:Guid>{1AA44A5D-E21F-4C0E-AFEE-23C744A2DD97}</b:Guid>
    <b:Author>
      <b:Author>
        <b:NameList>
          <b:Person>
            <b:Last>Molina</b:Last>
            <b:First>Mª</b:First>
            <b:Middle>Teresa García</b:Middle>
          </b:Person>
        </b:NameList>
      </b:Author>
    </b:Author>
    <b:Title>La importancia de la música para el desarrollo integral en la etapa de Infantil</b:Title>
    <b:Year>2014</b:Year>
    <b:Pages>1-73</b:Pages>
    <b:URL>https://rodin.uca.es/xmlui/bitstream/handle/10498/16696/16696.pdf</b:URL>
    <b:RefOrder>30</b:RefOrder>
  </b:Source>
  <b:Source>
    <b:Tag>Sar14</b:Tag>
    <b:SourceType>JournalArticle</b:SourceType>
    <b:Guid>{1FBC8EC3-C910-4566-83E7-F6FF2244DAC9}</b:Guid>
    <b:Author>
      <b:Author>
        <b:NameList>
          <b:Person>
            <b:Last>Sardi</b:Last>
            <b:First>Monica</b:First>
          </b:Person>
        </b:NameList>
      </b:Author>
    </b:Author>
    <b:Title>El apoyo: sobre malos entendidos, fuerza y balance</b:Title>
    <b:JournalName>Revista de Investigaciones en Técnica Vocal</b:JournalName>
    <b:Year>2014</b:Year>
    <b:Pages>2(2)11-22</b:Pages>
    <b:URL>http://sedici.unlp.edu.ar/bitstream/handle/10915/44951/Documento_completo.pdf?sequence=1&amp;isAllowed=y</b:URL>
    <b:RefOrder>31</b:RefOrder>
  </b:Source>
  <b:Source>
    <b:Tag>Esp15</b:Tag>
    <b:SourceType>JournalArticle</b:SourceType>
    <b:Guid>{DCFB83A7-BAA6-4ABF-A1A1-B193AA75F4E7}</b:Guid>
    <b:Author>
      <b:Author>
        <b:NameList>
          <b:Person>
            <b:Last>Espinosa</b:Last>
            <b:First>Juan</b:First>
            <b:Middle>Gómez</b:Middle>
          </b:Person>
        </b:NameList>
      </b:Author>
    </b:Author>
    <b:Title>Didáctica de la música</b:Title>
    <b:JournalName>Universidad Internacional de La Rioja, S. A.</b:JournalName>
    <b:Year>2015</b:Year>
    <b:Pages>(1)1-37</b:Pages>
    <b:URL>https://www.unir.net/wp-content/uploads/2015/11/Didactica-musica-capt-3.pdf</b:URL>
    <b:RefOrder>32</b:RefOrder>
  </b:Source>
  <b:Source>
    <b:Tag>Ord182</b:Tag>
    <b:SourceType>JournalArticle</b:SourceType>
    <b:Guid>{8B10A892-FF9C-4837-815A-E05A4EA34B9A}</b:Guid>
    <b:Author>
      <b:Author>
        <b:NameList>
          <b:Person>
            <b:Last>Ordóñez</b:Last>
            <b:First>Henry</b:First>
            <b:Middle>Roa</b:Middle>
          </b:Person>
        </b:NameList>
      </b:Author>
    </b:Author>
    <b:Title>SENSACIONES,IMÁGENES Y METÁFORAS EN LA ENSEÑANZA  DEL CANTO</b:Title>
    <b:JournalName>Universidad Sergio Arboleda</b:JournalName>
    <b:Year>2018</b:Year>
    <b:Pages>1-155</b:Pages>
    <b:URL>https://repository.usergioarboleda.edu.co/bitstream/handle/11232/1186/Sensaciones%20im%C3%A1genes%20met%C3%A1foras%20Canto.pdf?sequence=1&amp;isAllowed=y</b:URL>
    <b:RefOrder>33</b:RefOrder>
  </b:Source>
  <b:Source>
    <b:Tag>Alb172</b:Tag>
    <b:SourceType>JournalArticle</b:SourceType>
    <b:Guid>{BC72A129-40DF-4CD0-A7C3-E2F10167AF1D}</b:Guid>
    <b:Author>
      <b:Author>
        <b:NameList>
          <b:Person>
            <b:Last>Alberdi</b:Last>
            <b:First>Begoña</b:First>
          </b:Person>
        </b:NameList>
      </b:Author>
    </b:Author>
    <b:Title>El primer</b:Title>
    <b:JournalName>Grupo Planeta</b:JournalName>
    <b:Year>2017</b:Year>
    <b:Pages>1-12</b:Pages>
    <b:URL>https://www.elargonauta.com/static/pdf/64638.pdf</b:URL>
    <b:RefOrder>1</b:RefOrder>
  </b:Source>
  <b:Source>
    <b:Tag>Sol203</b:Tag>
    <b:SourceType>JournalArticle</b:SourceType>
    <b:Guid>{51D04311-300F-4C5B-A01E-4BD652F8382E}</b:Guid>
    <b:Author>
      <b:Author>
        <b:NameList>
          <b:Person>
            <b:Last>Solanve</b:Last>
            <b:First>Caignet</b:First>
          </b:Person>
        </b:NameList>
      </b:Author>
    </b:Author>
    <b:Title>Contexto y generalidades de la enseñanza del Canto como Licenciatura en tiempos de COVID-19</b:Title>
    <b:JournalName>Revista de Didáctica Práctica</b:JournalName>
    <b:Year>2020</b:Year>
    <b:Pages>4 (11) 16-21</b:Pages>
    <b:DOI>DOI: 10.35429/JPD.2020.12.4.16.21 </b:DOI>
    <b:RefOrder>34</b:RefOrder>
  </b:Source>
  <b:Source>
    <b:Tag>ROM16</b:Tag>
    <b:SourceType>JournalArticle</b:SourceType>
    <b:Guid>{EE01A034-22BF-455C-A751-CE42B08E40F8}</b:Guid>
    <b:Author>
      <b:Author>
        <b:NameList>
          <b:Person>
            <b:Last>ROMERO</b:Last>
            <b:First>SUJELID</b:First>
            <b:Middle>HERNÁNDEZ</b:Middle>
          </b:Person>
        </b:NameList>
      </b:Author>
    </b:Author>
    <b:Title>LA EDUCACIÓN MUSICAL Y SU RELACIÓN CON EL DESARROLLO COGNITIVO (ATENCIÓN-MEMORIA) Y MOTIVACIONAL DEL NIÑO</b:Title>
    <b:JournalName>UNIVERSIDAD PRIVADA NORBERT WIENER</b:JournalName>
    <b:Year>2016</b:Year>
    <b:Pages>1-160</b:Pages>
    <b:URL>http://repositorio.uwiener.edu.pe/bitstream/handle/123456789/741/MAESTRO-%20M%C3%A9ndez%20L%C3%B3pez%20Francisco%20Alejandro.pdf?sequence=1&amp;isAllowed=y</b:URL>
    <b:RefOrder>35</b:RefOrder>
  </b:Source>
  <b:Source>
    <b:Tag>Puc20</b:Tag>
    <b:SourceType>JournalArticle</b:SourceType>
    <b:Guid>{0E498531-5627-44D4-A505-DA30A3254FDD}</b:Guid>
    <b:Author>
      <b:Author>
        <b:NameList>
          <b:Person>
            <b:Last>Pucha</b:Last>
            <b:First>Sonia</b:First>
            <b:Middle>Paulina Alarcón</b:Middle>
          </b:Person>
        </b:NameList>
      </b:Author>
    </b:Author>
    <b:Title>La música y el aprendizaje de lectura y escritura de niños de 2° año de educación básica</b:Title>
    <b:JournalName>Universidad Andina Simón Bolívar</b:JournalName>
    <b:Year>2020</b:Year>
    <b:Pages>(1)1-71</b:Pages>
    <b:URL>https://repositorio.uasb.edu.ec/bitstream/10644/7337/1/T3210-MIE-Alarcon-La%20musica.pdf</b:URL>
    <b:RefOrder>36</b:RefOrder>
  </b:Source>
  <b:Source>
    <b:Tag>Pal151</b:Tag>
    <b:SourceType>JournalArticle</b:SourceType>
    <b:Guid>{7338F9A9-704A-4A42-A8B1-0E983E21C086}</b:Guid>
    <b:Author>
      <b:Author>
        <b:NameList>
          <b:Person>
            <b:Last>Palomo</b:Last>
            <b:First>Esther</b:First>
            <b:Middle>Ruiz</b:Middle>
          </b:Person>
          <b:Person>
            <b:Last>Cámara</b:Last>
            <b:First>Carmen</b:First>
            <b:Middle>Palmero</b:Middle>
          </b:Person>
          <b:Person>
            <b:Last>Martínez</b:Last>
            <b:First>Vanesa</b:First>
            <b:Middle>Baños</b:Middle>
          </b:Person>
        </b:NameList>
      </b:Author>
    </b:Author>
    <b:Title>Docencia en educación vocal y canto: adaptación a las necesidades del aula</b:Title>
    <b:JournalName>Edetania</b:JournalName>
    <b:Year>2015</b:Year>
    <b:Pages>(45) 1-16</b:Pages>
    <b:URL>https://dialnet.unirioja.es/descarga/articulo/5349042.pdf</b:URL>
    <b:RefOrder>37</b:RefOrder>
  </b:Source>
  <b:Source>
    <b:Tag>Cri19</b:Tag>
    <b:SourceType>JournalArticle</b:SourceType>
    <b:Guid>{FD91152B-544A-4E3F-BBBD-B8B9F0BAFA58}</b:Guid>
    <b:Author>
      <b:Author>
        <b:NameList>
          <b:Person>
            <b:Last>Cristino</b:Last>
            <b:First>Jessica</b:First>
            <b:Middle>Rodríguez</b:Middle>
          </b:Person>
        </b:NameList>
      </b:Author>
    </b:Author>
    <b:Title>Recursos, metodologías y juegos para el desarrollo de la voz infantil en educación primaria</b:Title>
    <b:JournalName>Tercio creciente Revista de Estudios en Sociedad, </b:JournalName>
    <b:Year>2019</b:Year>
    <b:Pages>(16) 47-94</b:Pages>
    <b:DOI>DOI: https://dx.doi.org/10.17561/rtc. </b:DOI>
    <b:RefOrder>38</b:RefOrder>
  </b:Source>
  <b:Source>
    <b:Tag>Cai20</b:Tag>
    <b:SourceType>JournalArticle</b:SourceType>
    <b:Guid>{2EC5BA23-8582-4AE7-9EDE-942F1101DC0A}</b:Guid>
    <b:Author>
      <b:Author>
        <b:NameList>
          <b:Person>
            <b:Last>Caignet</b:Last>
            <b:First>Solanve</b:First>
          </b:Person>
        </b:NameList>
      </b:Author>
    </b:Author>
    <b:Title>Contexto y generalidades de la enseñanza del Canto como Licenciatura en tiempos de COVID-19</b:Title>
    <b:JournalName>Revista didáctica práctica</b:JournalName>
    <b:Year>2020</b:Year>
    <b:Pages>4 (11) 16-21</b:Pages>
    <b:DOI>DOI: 10.35429/JPD.2020.12.4.16.21</b:DOI>
    <b:RefOrder>39</b:RefOrder>
  </b:Source>
  <b:Source>
    <b:Tag>Tor163</b:Tag>
    <b:SourceType>JournalArticle</b:SourceType>
    <b:Guid>{A2B6358B-11AF-4448-9957-666D49BA4A10}</b:Guid>
    <b:Author>
      <b:Author>
        <b:NameList>
          <b:Person>
            <b:Last>Torre</b:Last>
            <b:First>Asier</b:First>
            <b:Middle>Estrada</b:Middle>
          </b:Person>
        </b:NameList>
      </b:Author>
    </b:Author>
    <b:Title>Las Canciones Infantiles como Herramienta en la etapa (0-6)</b:Title>
    <b:JournalName>Universidad de Cantabria</b:JournalName>
    <b:Year>2016</b:Year>
    <b:Pages>(1)1-56</b:Pages>
    <b:URL>https://repositorio.unican.es/xmlui/bitstream/handle/10902/8640/EstradaTorreAsier.pdf?sequence=1</b:URL>
    <b:RefOrder>40</b:RefOrder>
  </b:Source>
  <b:Source>
    <b:Tag>Gar131</b:Tag>
    <b:SourceType>JournalArticle</b:SourceType>
    <b:Guid>{66ABAC2E-E93E-481A-9041-140286289E1E}</b:Guid>
    <b:Author>
      <b:Author>
        <b:NameList>
          <b:Person>
            <b:Last>Garzón</b:Last>
            <b:First>Sarai</b:First>
            <b:Middle>Montes</b:Middle>
          </b:Person>
        </b:NameList>
      </b:Author>
    </b:Author>
    <b:Title>El canto en la Educación Primaria</b:Title>
    <b:JournalName>Universidad Pública de Navarra</b:JournalName>
    <b:Year>2013</b:Year>
    <b:Pages>(1)1-62</b:Pages>
    <b:URL>http://academica-e.unavarra.es/bitstream/handle/2454/8206/EL%20CANTO%20EN%20LA%20EDUCACI%C3%93N%20PRIMARIA.pdf?sequence=1</b:URL>
    <b:RefOrder>2</b:RefOrder>
  </b:Source>
  <b:Source>
    <b:Tag>Gor181</b:Tag>
    <b:SourceType>JournalArticle</b:SourceType>
    <b:Guid>{56E1B9E3-BB89-4CC2-8159-A7FC96427E50}</b:Guid>
    <b:Author>
      <b:Author>
        <b:NameList>
          <b:Person>
            <b:Last>Gordon</b:Last>
            <b:First>Floralba</b:First>
            <b:Middle>del Rocío Aguilar</b:Middle>
          </b:Person>
          <b:Person>
            <b:Last>Marín</b:Last>
            <b:First>Daniela</b:First>
            <b:Middle>Alejandra Villacís</b:Middle>
          </b:Person>
          <b:Person>
            <b:Last>Flores</b:Last>
            <b:First>Steven</b:First>
            <b:Middle>Marco Narváez</b:Middle>
          </b:Person>
        </b:NameList>
      </b:Author>
    </b:Author>
    <b:Title>LA EDUCACIÓN MUSICAL COMO HERRAMIENTA PARA EL DESARROLLO DE DESTREZAS Y HABILIDADES EN LOS ESTUDIANTE</b:Title>
    <b:JournalName>Universidad UTE Revista de Investigación Científica</b:JournalName>
    <b:Year>2018</b:Year>
    <b:Pages>(11) 1-82</b:Pages>
    <b:URL>https://revistas.ute.edu.ec/index.php/tsafiqui/article/download/484/403/804</b:URL>
    <b:RefOrder>3</b:RefOrder>
  </b:Source>
  <b:Source>
    <b:Tag>Muñ18</b:Tag>
    <b:SourceType>JournalArticle</b:SourceType>
    <b:Guid>{AA3A118A-31F5-4B78-9700-2F2F658F38B0}</b:Guid>
    <b:Author>
      <b:Author>
        <b:NameList>
          <b:Person>
            <b:Last>Muñoz</b:Last>
            <b:First>Geoconda</b:First>
            <b:Middle>Barahona</b:Middle>
          </b:Person>
          <b:Person>
            <b:Last>Ramirez</b:Last>
            <b:First>Lorena</b:First>
            <b:Middle>Vargas</b:Middle>
          </b:Person>
        </b:NameList>
      </b:Author>
    </b:Author>
    <b:Title>Estimulación musical y desarrollo de las destrezas de los niños y niñas de 3 – 4 años</b:Title>
    <b:JournalName>UNEMI</b:JournalName>
    <b:Year>2018</b:Year>
    <b:Pages>(1)1-141</b:Pages>
    <b:URL>epositorio.unemi.edu.ec/bitstream/123456789/1036/3/ESTIMULACIÓN%20MUSICAL%20Y%20DESARROLLO%20DE%20LAS%20DESTREZAS%20DE%20LOS%20NIÑOS%20Y%20NIÑAS%20DE%203%20–%204%20AÑOS.pdf</b:URL>
    <b:RefOrder>4</b:RefOrder>
  </b:Source>
  <b:Source xmlns:b="http://schemas.openxmlformats.org/officeDocument/2006/bibliography">
    <b:Tag>10213</b:Tag>
    <b:SourceType>Case</b:SourceType>
    <b:Guid>{7B852CEB-0885-4541-A13D-96AA560A681B}</b:Guid>
    <b:Title>0380-10-EP</b:Title>
    <b:Year>2013</b:Year>
    <b:City>Quito</b:City>
    <b:CaseNumber>Caso N° 0380-10-EP</b:CaseNumber>
    <b:Month>12</b:Month>
    <b:Day>04</b:Day>
    <b:ShortTitle>102-13-SEP-CC</b:ShortTitle>
    <b:YearAccessed>2020</b:YearAccessed>
    <b:MonthAccessed>junio</b:MonthAccessed>
    <b:DayAccessed>05</b:DayAccessed>
    <b:URL>http://portal.corteconstitucional.gob.ec:8494/FichaRelatoria.aspx?numdocumento=102-13-SEP-CC</b:URL>
    <b:Court>Doctores Patricio Herrera Betancourt, Alfonso Luz Yunes y Manuel Viteri Olvera</b:Court>
    <b:RefOrder>1</b:RefOrder>
  </b:Source>
  <b:Source>
    <b:Tag>00116</b:Tag>
    <b:SourceType>Case</b:SourceType>
    <b:Guid>{9B254D26-6DE1-450C-B925-A3BFF4E1F329}</b:Guid>
    <b:Title>0530-10-JP</b:Title>
    <b:CaseNumber>0530-10-JP</b:CaseNumber>
    <b:Year>2016</b:Year>
    <b:Month>03</b:Month>
    <b:Day>22</b:Day>
    <b:City>Quito</b:City>
    <b:ShortTitle>001-16-PJO-CC</b:ShortTitle>
    <b:YearAccessed>2020</b:YearAccessed>
    <b:MonthAccessed>junio</b:MonthAccessed>
    <b:DayAccessed>05</b:DayAccessed>
    <b:URL>http://doc0.corteconstitucional.gob.ec:8080/alfresco/d/d/workspace/SpacesStore/71a7f53a-d379-4fc4-89ef-764ff71808aa/0530-10-JP-sen.pdf?guest=true</b:URL>
    <b:Court>Doctores Edgar Zárate Zárate, Roberto Bhrunis Lemarie y Ruth Seni Pinoargote</b:Court>
    <b:RefOrder>2</b:RefOrder>
  </b:Source>
  <b:Source>
    <b:Tag>CCE</b:Tag>
    <b:SourceType>Case</b:SourceType>
    <b:Guid>{8F40AC65-CEA5-4B31-919E-63A2A8346ED2}</b:Guid>
    <b:Title>CCE-EP-179-13 SEP-CC</b:Title>
    <b:Year>2020</b:Year>
    <b:CaseNumber>179-13-EP</b:CaseNumber>
    <b:Court>Hernan Salgado Pesantes,Carmen Corral ponce y Ramiro Ávila Santamaría</b:Court>
    <b:Month>03</b:Month>
    <b:Day>04</b:Day>
    <b:City>Quito</b:City>
    <b:AbbreviatedCaseNumber>Sentencia No. 179-13-EP/20</b:AbbreviatedCaseNumber>
    <b:YearAccessed>2020</b:YearAccessed>
    <b:MonthAccessed>05</b:MonthAccessed>
    <b:DayAccessed>25</b:DayAccessed>
    <b:URL>http://doc.corteconstitucional.gob.ec:8080/alfresco/d/d/workspace/SpacesStore/ce18c87f-edd6-4844-a219-0b67e6152a5f/0179-13-EP-sen%2bvoto-salvado.pdf</b:URL>
    <b:RefOrder>3</b:RefOrder>
  </b:Source>
  <b:Source>
    <b:Tag>CCE13</b:Tag>
    <b:SourceType>Case</b:SourceType>
    <b:Guid>{0888A3B2-8A22-41E8-A26A-34EF8F3557D4}</b:Guid>
    <b:Title>CCE-EP-052-13 SEP-CC</b:Title>
    <b:Year>2013</b:Year>
    <b:CaseNumber>1078-11-P</b:CaseNumber>
    <b:Court>Ruth Seni Pinoargote, Edgar Zarate Zarate y Hernando Morales Vinueza </b:Court>
    <b:Month>Agosto</b:Month>
    <b:Day>07</b:Day>
    <b:City>Quito</b:City>
    <b:AbbreviatedCaseNumber>Sentencia N° 052-13-SEP-CC </b:AbbreviatedCaseNumber>
    <b:YearAccessed>2020</b:YearAccessed>
    <b:MonthAccessed>05</b:MonthAccessed>
    <b:DayAccessed>25</b:DayAccessed>
    <b:URL>http://doc.corteconstitucional.gob.ec:8080/alfresco/d/d/workspace/SpacesStore/0ed97b2b-fa9d-465b-ab30-2194a75446d8/1078-11-ep-sen-mrvc.pdf?guest=true</b:URL>
    <b:RefOrder>4</b:RefOrder>
  </b:Source>
  <b:Source>
    <b:Tag>CCE14</b:Tag>
    <b:SourceType>Case</b:SourceType>
    <b:Guid>{B37F8965-526B-4288-A7D5-000ED4962551}</b:Guid>
    <b:Title>CCE-EP-151-14 SEP-CC</b:Title>
    <b:Year>2014</b:Year>
    <b:CaseNumber>CASO N.° 0119-12-EP</b:CaseNumber>
    <b:Court>Patricio Pazmiño Freiré, Edgar Zárate Zárate y Manuel Viteri Olvera</b:Court>
    <b:Month>Octubre</b:Month>
    <b:Day>7</b:Day>
    <b:City>Quito</b:City>
    <b:AbbreviatedCaseNumber>Sentencia N.° 151-14-SEP-CC CASO N.° 0119-12-EP</b:AbbreviatedCaseNumber>
    <b:YearAccessed>2020</b:YearAccessed>
    <b:MonthAccessed>Mayo</b:MonthAccessed>
    <b:DayAccessed>25</b:DayAccessed>
    <b:URL>http://doc.corteconstitucional.gob.ec:8080/alfresco/d/d/workspace/SpacesStore/27f6206f-5d53-4364-a177-81a733c910bd/0119-12-ep-sen.pdf?guest=true</b:URL>
    <b:RefOrder>5</b:RefOrder>
  </b:Source>
  <b:Source>
    <b:Tag>CCE16</b:Tag>
    <b:SourceType>Book</b:SourceType>
    <b:Guid>{C3C3C01E-AB71-4C88-B702-0B341596C7FD}</b:Guid>
    <b:Title>Código Procesal Constitucional</b:Title>
    <b:Month>Marzo</b:Month>
    <b:Day>22</b:Day>
    <b:City>Lima</b:City>
    <b:YearAccessed>2020</b:YearAccessed>
    <b:MonthAccessed>Mayo</b:MonthAccessed>
    <b:DayAccessed>25</b:DayAccessed>
    <b:URL>https://www.tc.gob.pe/tc/private/adjuntos/transparencia/pdf/marco_legal/Codigo_Procesal.pdf</b:URL>
    <b:CountryRegion>Perú</b:CountryRegion>
    <b:Volume>Ley 28237 del 28 de mayo de 2004</b:Volume>
    <b:Year>2004</b:Year>
    <b:RefOrder>6</b:RefOrder>
  </b:Source>
  <b:Source>
    <b:Tag>SU118</b:Tag>
    <b:SourceType>Case</b:SourceType>
    <b:Guid>{EE1FD2DC-4DC0-42DD-9FC6-44112C6173CD}</b:Guid>
    <b:Title>SU108/18</b:Title>
    <b:Year>2018</b:Year>
    <b:CaseNumber> SU108/18</b:CaseNumber>
    <b:Court>Alejandro Linares Cantillo, Carlos Bernal Pulido, Diana Fajardo Rivera, Luis Guillermo Guerrero Pérez, Antonio José Lizarazo Ocampo, Gloria Stella Ortiz Delgado, Cristina Pardo Schlesinger,  José Fernando Reyes Cuartas y Alberto Rojas Ríos</b:Court>
    <b:Month>Noviembre</b:Month>
    <b:Day>16</b:Day>
    <b:YearAccessed>2020</b:YearAccessed>
    <b:MonthAccessed>Mayo</b:MonthAccessed>
    <b:DayAccessed>25</b:DayAccessed>
    <b:URL>https://www.corteconstitucional.gov.co/relatoria/2018/SU108-18.htm</b:URL>
    <b:RefOrder>7</b:RefOrder>
  </b:Source>
  <b:Source>
    <b:Tag>Bol16</b:Tag>
    <b:SourceType>JournalArticle</b:SourceType>
    <b:Guid>{E5F49C78-3454-40E2-A3C1-9E14DEFABB59}</b:Guid>
    <b:Title>El plazo razonable como garantía del debido proceso: análisis comparativo de los estándares actuales en el Sistema Interamericano y en el TC peruano.Gaceta Constitucional</b:Title>
    <b:JournalName>Gaceta Constitucional: Análisis y Crítica</b:JournalName>
    <b:Year>2016</b:Year>
    <b:Pages>92</b:Pages>
    <b:City>Lima</b:City>
    <b:Month>Agosto</b:Month>
    <b:Publisher>Universidad de San Martín de Porres</b:Publisher>
    <b:Volume>104</b:Volume>
    <b:URL>https://www.academia.edu/27626755/El_plazo_razonable_como_garant%C3%ADa_del_debido_proceso_an%C3%A1lisis_comparativo_de_los_est%C3%A1ndares_actuales_en_el_Sistema_Interamericano_y_en_el_TC_peruano</b:URL>
    <b:Author>
      <b:Author>
        <b:NameList>
          <b:Person>
            <b:Last>Bolañoz Salazar</b:Last>
            <b:Middle>Ricardo</b:Middle>
            <b:First>Elard</b:First>
          </b:Person>
          <b:Person>
            <b:Last>Ugáz Marquina</b:Last>
            <b:Middle>Stephani</b:Middle>
            <b:First>Rosemary </b:First>
          </b:Person>
        </b:NameList>
      </b:Author>
    </b:Author>
    <b:RefOrder>8</b:RefOrder>
  </b:Source>
  <b:Source xmlns:b="http://schemas.openxmlformats.org/officeDocument/2006/bibliography">
    <b:Tag>CAD69</b:Tag>
    <b:SourceType>Case</b:SourceType>
    <b:Guid>{EF987759-B02E-4D33-AB2C-368359189607}</b:Guid>
    <b:Title>CADH</b:Title>
    <b:Year>1969</b:Year>
    <b:RefOrder>9</b:RefOrder>
  </b:Source>
  <b:Source>
    <b:Tag>PID66</b:Tag>
    <b:SourceType>Book</b:SourceType>
    <b:Guid>{0E9A8526-28C4-4D42-A12B-1B28366B17F5}</b:Guid>
    <b:Title>Pacto Internacional de Derechos Civiles y Políticos</b:Title>
    <b:Year>1966</b:Year>
    <b:City>Quito</b:City>
    <b:Publisher>FIELWEB</b:Publisher>
    <b:StateProvince>Pichincha</b:StateProvince>
    <b:CountryRegion>Ecuador</b:CountryRegion>
    <b:Volume>Registro Oficial No. 101 , 24 de Enero 1969</b:Volume>
    <b:ShortTitle>PIDCP</b:ShortTitle>
    <b:YearAccessed>2020</b:YearAccessed>
    <b:MonthAccessed>Mayo</b:MonthAccessed>
    <b:DayAccessed>26</b:DayAccessed>
    <b:URL>https://www.fielweb.com/Index.aspx?157Rabf6ik654#</b:URL>
    <b:RefOrder>10</b:RefOrder>
  </b:Source>
  <b:Source>
    <b:Tag>LOG09</b:Tag>
    <b:SourceType>Book</b:SourceType>
    <b:Guid>{84625D5B-E545-4BB8-A016-7A6D90C00A6D}</b:Guid>
    <b:Title>Ley Orgánica de Garantías Jurisdiccionales y Control Constitucional</b:Title>
    <b:Year>2009</b:Year>
    <b:City>Quito</b:City>
    <b:Publisher>Fielweb</b:Publisher>
    <b:StateProvince>Pichincha</b:StateProvince>
    <b:CountryRegion>Ecuador</b:CountryRegion>
    <b:Volume>Segundo Suplemento del Registro Oficial No.52 , 22 de Octubre 2009</b:Volume>
    <b:ShortTitle>LOGJCC</b:ShortTitle>
    <b:YearAccessed>2020</b:YearAccessed>
    <b:MonthAccessed>Mayo</b:MonthAccessed>
    <b:DayAccessed>26</b:DayAccessed>
    <b:URL>https://www.fielweb.com/Index.aspx?157Rabf6ik654#</b:URL>
    <b:RefOrder>11</b:RefOrder>
  </b:Source>
  <b:Source>
    <b:Tag>MarcadorDePosición16</b:Tag>
    <b:SourceType>JournalArticle</b:SourceType>
    <b:Guid>{0231ED1B-B691-455D-AD8B-458D22B796DF}</b:Guid>
    <b:Title>El principio de inmediatez de la acción de tutela. ¿Una barrera para la protección judicial de los derechos fundamentales?</b:Title>
    <b:Year>2017</b:Year>
    <b:Month>Junio</b:Month>
    <b:Day>1</b:Day>
    <b:URL>https://revistas.unilibre.edu.co/index.php/entramado/article/view/402</b:URL>
    <b:JournalName>Entramado</b:JournalName>
    <b:Pages>125</b:Pages>
    <b:City>Antioquia</b:City>
    <b:Publisher>Universidad Libre de Colombia</b:Publisher>
    <b:Volume>13</b:Volume>
    <b:Issue>1</b:Issue>
    <b:YearAccessed>2020</b:YearAccessed>
    <b:MonthAccessed>mayo</b:MonthAccessed>
    <b:DayAccessed>25</b:DayAccessed>
    <b:DOI>0.18041/entramado.2017v13n1.25140</b:DOI>
    <b:Author>
      <b:Author>
        <b:NameList>
          <b:Person>
            <b:Last>Cano-Blandón</b:Last>
            <b:Middle>Fernanda</b:Middle>
            <b:First>Luisa</b:First>
          </b:Person>
        </b:NameList>
      </b:Author>
    </b:Author>
    <b:RefOrder>12</b:RefOrder>
  </b:Source>
  <b:Source>
    <b:Tag>Cas18</b:Tag>
    <b:SourceType>JournalArticle</b:SourceType>
    <b:Guid>{7B59F111-979E-4262-BA14-1057BFD1623C}</b:Guid>
    <b:Title>Alcance del principio iura novit curia en la responsabilidad del Estado colombiano</b:Title>
    <b:JournalName>Revista VirtualVia Inveniendi et Iudicandi</b:JournalName>
    <b:Year>2018</b:Year>
    <b:Pages>174</b:Pages>
    <b:City>Bogotá</b:City>
    <b:Month>Abril</b:Month>
    <b:Day>19</b:Day>
    <b:Publisher>Universidad de Santo Tomás</b:Publisher>
    <b:Volume>13</b:Volume>
    <b:Issue>1</b:Issue>
    <b:YearAccessed>2020</b:YearAccessed>
    <b:MonthAccessed>Mayo</b:MonthAccessed>
    <b:DayAccessed>25</b:DayAccessed>
    <b:URL>https://revistas.usantotomas.edu.co/index.php/viei/article/view/4270</b:URL>
    <b:DOI>https://doi.org/10.15332/s1909-0528.2018.0001.06</b:DOI>
    <b:Author>
      <b:Author>
        <b:NameList>
          <b:Person>
            <b:Last>Castro Núñez</b:Last>
            <b:Middle>José</b:Middle>
            <b:First>Juan</b:First>
          </b:Person>
        </b:NameList>
      </b:Author>
    </b:Author>
    <b:RefOrder>13</b:RefOrder>
  </b:Source>
  <b:Source>
    <b:Tag>MarcadorDePosición17</b:Tag>
    <b:SourceType>Book</b:SourceType>
    <b:Guid>{F8D75CDF-7752-4DE1-86AA-82369E8C79B3}</b:Guid>
    <b:Title>Debido Proceso</b:Title>
    <b:Year>2016</b:Year>
    <b:City>Quito</b:City>
    <b:Publisher>Corporación de Estudios y Publicaciones</b:Publisher>
    <b:Author>
      <b:Author>
        <b:NameList>
          <b:Person>
            <b:Last>Oyarte</b:Last>
            <b:First>Rafael</b:First>
          </b:Person>
        </b:NameList>
      </b:Author>
    </b:Author>
    <b:CountryRegion>Ecuador</b:CountryRegion>
    <b:Pages>361</b:Pages>
    <b:Edition>Primera</b:Edition>
    <b:RefOrder>14</b:RefOrder>
  </b:Source>
  <b:Source>
    <b:Tag>CRE081</b:Tag>
    <b:SourceType>Book</b:SourceType>
    <b:Guid>{5D8EAFB7-DC7C-4D0A-B20B-3B49F0D9ED95}</b:Guid>
    <b:Title>Constitución de la República del Ecuador</b:Title>
    <b:CaseNumber>11</b:CaseNumber>
    <b:Court>Art.11 num. 6</b:Court>
    <b:Year>2008</b:Year>
    <b:City>Montecristi</b:City>
    <b:Publisher>FIELWEB</b:Publisher>
    <b:StateProvince>Manabí</b:StateProvince>
    <b:CountryRegion>Ecuador</b:CountryRegion>
    <b:ShortTitle>CRE</b:ShortTitle>
    <b:YearAccessed>2020</b:YearAccessed>
    <b:MonthAccessed>Mayo</b:MonthAccessed>
    <b:DayAccessed>26</b:DayAccessed>
    <b:URL>https://www.fielweb.com/Index.aspx?157Rabf6ik654#</b:URL>
    <b:Volume>Registro Oficial No. 449, 20 de Octubre 2008</b:Volume>
    <b:RefOrder>15</b:RefOrder>
  </b:Source>
</b:Sources>
</file>

<file path=customXml/itemProps1.xml><?xml version="1.0" encoding="utf-8"?>
<ds:datastoreItem xmlns:ds="http://schemas.openxmlformats.org/officeDocument/2006/customXml" ds:itemID="{6F5B29FE-C9FF-49E3-831B-B2EA0D9B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5628</Words>
  <Characters>30958</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36513</CharactersWithSpaces>
  <SharedDoc>false</SharedDoc>
  <HLinks>
    <vt:vector size="12" baseType="variant">
      <vt:variant>
        <vt:i4>1638514</vt:i4>
      </vt:variant>
      <vt:variant>
        <vt:i4>3</vt:i4>
      </vt:variant>
      <vt:variant>
        <vt:i4>0</vt:i4>
      </vt:variant>
      <vt:variant>
        <vt:i4>5</vt:i4>
      </vt:variant>
      <vt:variant>
        <vt:lpwstr>mailto:cxangulo@istluistello.edu.ec%20https://orcid.org/0000-0003-3118-8264</vt:lpwstr>
      </vt:variant>
      <vt:variant>
        <vt:lpwstr/>
      </vt:variant>
      <vt:variant>
        <vt:i4>1376379</vt:i4>
      </vt:variant>
      <vt:variant>
        <vt:i4>0</vt:i4>
      </vt:variant>
      <vt:variant>
        <vt:i4>0</vt:i4>
      </vt:variant>
      <vt:variant>
        <vt:i4>5</vt:i4>
      </vt:variant>
      <vt:variant>
        <vt:lpwstr>mailto:jzatizabal@istluistello.edu.echttps://orcid.org/0000-0002-2047-5287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Cuenta Microsoft</cp:lastModifiedBy>
  <cp:revision>2</cp:revision>
  <cp:lastPrinted>2021-12-30T19:41:00Z</cp:lastPrinted>
  <dcterms:created xsi:type="dcterms:W3CDTF">2022-01-03T13:08:00Z</dcterms:created>
  <dcterms:modified xsi:type="dcterms:W3CDTF">2022-01-03T13:08:00Z</dcterms:modified>
</cp:coreProperties>
</file>