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A82F7E" w:rsidP="005C1393">
      <w:pPr>
        <w:pStyle w:val="Sinespaciado"/>
        <w:spacing w:line="276" w:lineRule="auto"/>
        <w:jc w:val="center"/>
        <w:rPr>
          <w:rFonts w:ascii="Times New Roman" w:hAnsi="Times New Roman"/>
          <w:b/>
          <w:i/>
          <w:sz w:val="28"/>
          <w:lang w:eastAsia="es-EC"/>
        </w:rPr>
      </w:pPr>
    </w:p>
    <w:p w:rsidR="00FD3AE3" w:rsidRPr="00FD3AE3" w:rsidRDefault="00FD3AE3" w:rsidP="00FD3AE3">
      <w:pPr>
        <w:pStyle w:val="Sinespaciado"/>
        <w:spacing w:line="276" w:lineRule="auto"/>
        <w:jc w:val="center"/>
        <w:rPr>
          <w:rFonts w:ascii="Times New Roman" w:hAnsi="Times New Roman"/>
          <w:b/>
          <w:bCs/>
          <w:i/>
          <w:iCs/>
          <w:color w:val="000000"/>
          <w:sz w:val="28"/>
          <w:szCs w:val="26"/>
        </w:rPr>
      </w:pPr>
      <w:bookmarkStart w:id="0" w:name="_GoBack"/>
      <w:r w:rsidRPr="00FD3AE3">
        <w:rPr>
          <w:rFonts w:ascii="Times New Roman" w:hAnsi="Times New Roman"/>
          <w:b/>
          <w:bCs/>
          <w:i/>
          <w:iCs/>
          <w:color w:val="000000"/>
          <w:sz w:val="28"/>
          <w:szCs w:val="26"/>
        </w:rPr>
        <w:t>Influencia   de la concentración de nutrientes y  azucares   en la maceración fermentativa de una bebida  elaborada  con Capulí  (Prunus serotina)</w:t>
      </w:r>
      <w:bookmarkEnd w:id="0"/>
    </w:p>
    <w:p w:rsidR="00FD3AE3" w:rsidRPr="00FD3AE3" w:rsidRDefault="00FD3AE3" w:rsidP="00FD3AE3">
      <w:pPr>
        <w:pStyle w:val="Sinespaciado"/>
        <w:spacing w:line="276" w:lineRule="auto"/>
        <w:jc w:val="center"/>
        <w:rPr>
          <w:rFonts w:ascii="Times New Roman" w:hAnsi="Times New Roman"/>
          <w:b/>
          <w:bCs/>
          <w:i/>
          <w:iCs/>
          <w:color w:val="000000"/>
          <w:sz w:val="28"/>
          <w:szCs w:val="26"/>
        </w:rPr>
      </w:pPr>
    </w:p>
    <w:p w:rsidR="00FD3AE3" w:rsidRPr="00FD3AE3" w:rsidRDefault="00FD3AE3" w:rsidP="00FD3AE3">
      <w:pPr>
        <w:pStyle w:val="Sinespaciado"/>
        <w:spacing w:line="276" w:lineRule="auto"/>
        <w:jc w:val="center"/>
        <w:rPr>
          <w:rFonts w:ascii="Times New Roman" w:hAnsi="Times New Roman"/>
          <w:b/>
          <w:bCs/>
          <w:i/>
          <w:iCs/>
          <w:color w:val="000000"/>
          <w:sz w:val="28"/>
          <w:szCs w:val="26"/>
        </w:rPr>
      </w:pPr>
      <w:r w:rsidRPr="00FD3AE3">
        <w:rPr>
          <w:rFonts w:ascii="Times New Roman" w:hAnsi="Times New Roman"/>
          <w:b/>
          <w:bCs/>
          <w:i/>
          <w:iCs/>
          <w:color w:val="000000"/>
          <w:sz w:val="28"/>
          <w:szCs w:val="26"/>
        </w:rPr>
        <w:t>Influence of the concentration of nutrients and sugars in the fermentative maceration of a drink made with Capulí (Prunus serotina)</w:t>
      </w:r>
    </w:p>
    <w:p w:rsidR="00FD3AE3" w:rsidRPr="00FD3AE3" w:rsidRDefault="00FD3AE3" w:rsidP="00FD3AE3">
      <w:pPr>
        <w:pStyle w:val="Sinespaciado"/>
        <w:spacing w:line="276" w:lineRule="auto"/>
        <w:jc w:val="center"/>
        <w:rPr>
          <w:rFonts w:ascii="Times New Roman" w:hAnsi="Times New Roman"/>
          <w:b/>
          <w:bCs/>
          <w:i/>
          <w:iCs/>
          <w:color w:val="000000"/>
          <w:sz w:val="28"/>
          <w:szCs w:val="26"/>
        </w:rPr>
      </w:pPr>
    </w:p>
    <w:p w:rsidR="00FF5C0F" w:rsidRPr="00F87A76" w:rsidRDefault="00FD3AE3" w:rsidP="00FD3AE3">
      <w:pPr>
        <w:pStyle w:val="Sinespaciado"/>
        <w:spacing w:line="276" w:lineRule="auto"/>
        <w:jc w:val="center"/>
        <w:rPr>
          <w:rFonts w:ascii="Times New Roman" w:hAnsi="Times New Roman"/>
          <w:b/>
          <w:bCs/>
          <w:i/>
          <w:iCs/>
          <w:color w:val="000000"/>
          <w:sz w:val="28"/>
          <w:szCs w:val="26"/>
        </w:rPr>
      </w:pPr>
      <w:r w:rsidRPr="00FD3AE3">
        <w:rPr>
          <w:rFonts w:ascii="Times New Roman" w:hAnsi="Times New Roman"/>
          <w:b/>
          <w:bCs/>
          <w:i/>
          <w:iCs/>
          <w:color w:val="000000"/>
          <w:sz w:val="28"/>
          <w:szCs w:val="26"/>
        </w:rPr>
        <w:t>Influência da concentração de nutrientes e açúcares na maceração fermentativa de uma bebida feita com Capulí (Prunus serotina)</w:t>
      </w:r>
    </w:p>
    <w:p w:rsidR="00FF5C0F" w:rsidRPr="00B82154" w:rsidRDefault="00FF5C0F" w:rsidP="00FF5C0F">
      <w:pPr>
        <w:spacing w:after="0" w:line="276" w:lineRule="auto"/>
        <w:jc w:val="center"/>
        <w:rPr>
          <w:rFonts w:ascii="Times New Roman" w:hAnsi="Times New Roman"/>
          <w:b/>
          <w:bCs/>
          <w:i/>
          <w:iCs/>
          <w:color w:val="000000"/>
          <w:sz w:val="28"/>
          <w:szCs w:val="28"/>
        </w:rPr>
      </w:pPr>
      <w:r w:rsidRPr="00B82154">
        <w:rPr>
          <w:rFonts w:ascii="Times New Roman" w:hAnsi="Times New Roman"/>
          <w:b/>
          <w:bCs/>
          <w:i/>
          <w:iCs/>
          <w:color w:val="000000"/>
          <w:sz w:val="28"/>
          <w:szCs w:val="28"/>
        </w:rPr>
        <w:t xml:space="preserve"> </w:t>
      </w:r>
    </w:p>
    <w:p w:rsidR="00FD3AE3" w:rsidRPr="00B3350F" w:rsidRDefault="00FD3AE3" w:rsidP="00FD3AE3">
      <w:pPr>
        <w:spacing w:after="0" w:line="276" w:lineRule="auto"/>
        <w:jc w:val="center"/>
        <w:rPr>
          <w:rFonts w:ascii="Times New Roman" w:hAnsi="Times New Roman"/>
          <w:bCs/>
          <w:iCs/>
          <w:color w:val="000000"/>
          <w:vertAlign w:val="superscript"/>
        </w:rPr>
      </w:pPr>
      <w:r w:rsidRPr="00FD3AE3">
        <w:rPr>
          <w:rFonts w:ascii="Times New Roman" w:hAnsi="Times New Roman"/>
          <w:bCs/>
          <w:iCs/>
          <w:color w:val="000000"/>
        </w:rPr>
        <w:t xml:space="preserve">Paula Elvira  Falcón-Romero </w:t>
      </w:r>
      <w:r w:rsidRPr="00B3350F">
        <w:rPr>
          <w:rFonts w:ascii="Times New Roman" w:hAnsi="Times New Roman"/>
          <w:bCs/>
          <w:iCs/>
          <w:color w:val="000000"/>
          <w:vertAlign w:val="superscript"/>
        </w:rPr>
        <w:t>I</w:t>
      </w:r>
    </w:p>
    <w:p w:rsidR="00FD3AE3" w:rsidRPr="00FD3AE3" w:rsidRDefault="00FD3AE3" w:rsidP="00FD3AE3">
      <w:pPr>
        <w:spacing w:after="0" w:line="240" w:lineRule="auto"/>
        <w:jc w:val="center"/>
        <w:rPr>
          <w:rStyle w:val="Hipervnculo"/>
          <w:rFonts w:ascii="Times New Roman" w:hAnsi="Times New Roman"/>
          <w:u w:val="none"/>
        </w:rPr>
      </w:pPr>
      <w:r w:rsidRPr="00FD3AE3">
        <w:rPr>
          <w:rStyle w:val="Hipervnculo"/>
          <w:rFonts w:ascii="Times New Roman" w:hAnsi="Times New Roman"/>
          <w:u w:val="none"/>
        </w:rPr>
        <w:t>pfalconr@unasam.edu.pe</w:t>
      </w:r>
    </w:p>
    <w:p w:rsidR="00FD3AE3" w:rsidRDefault="00FD3AE3" w:rsidP="00FD3AE3">
      <w:pPr>
        <w:spacing w:after="0" w:line="240" w:lineRule="auto"/>
        <w:jc w:val="center"/>
      </w:pPr>
      <w:r w:rsidRPr="00FD3AE3">
        <w:rPr>
          <w:rStyle w:val="Hipervnculo"/>
          <w:rFonts w:ascii="Times New Roman" w:hAnsi="Times New Roman"/>
          <w:u w:val="none"/>
        </w:rPr>
        <w:t>https://orcid.org/0000-0002-2774-1154</w:t>
      </w:r>
    </w:p>
    <w:p w:rsidR="00FF5C0F" w:rsidRDefault="00FF5C0F" w:rsidP="00FF5C0F">
      <w:pPr>
        <w:spacing w:after="0" w:line="360" w:lineRule="auto"/>
        <w:jc w:val="center"/>
        <w:rPr>
          <w:rFonts w:ascii="Times New Roman" w:hAnsi="Times New Roman"/>
          <w:b/>
          <w:szCs w:val="24"/>
          <w:lang w:eastAsia="zh-CN"/>
        </w:rPr>
      </w:pPr>
    </w:p>
    <w:p w:rsidR="00FD3AE3" w:rsidRPr="00B3350F" w:rsidRDefault="00FD3AE3" w:rsidP="00FD3AE3">
      <w:pPr>
        <w:spacing w:after="0" w:line="276" w:lineRule="auto"/>
        <w:jc w:val="center"/>
        <w:rPr>
          <w:rFonts w:ascii="Times New Roman" w:hAnsi="Times New Roman"/>
          <w:bCs/>
          <w:iCs/>
          <w:color w:val="000000"/>
          <w:vertAlign w:val="superscript"/>
        </w:rPr>
      </w:pPr>
      <w:r>
        <w:rPr>
          <w:rFonts w:ascii="Times New Roman" w:hAnsi="Times New Roman"/>
          <w:bCs/>
          <w:iCs/>
          <w:color w:val="000000"/>
        </w:rPr>
        <w:t>Edwin Johny  Asnate-</w:t>
      </w:r>
      <w:r w:rsidRPr="00FD3AE3">
        <w:rPr>
          <w:rFonts w:ascii="Times New Roman" w:hAnsi="Times New Roman"/>
          <w:bCs/>
          <w:iCs/>
          <w:color w:val="000000"/>
        </w:rPr>
        <w:t xml:space="preserve">Salazar </w:t>
      </w:r>
      <w:r w:rsidRPr="00B3350F">
        <w:rPr>
          <w:rFonts w:ascii="Times New Roman" w:hAnsi="Times New Roman"/>
          <w:bCs/>
          <w:iCs/>
          <w:color w:val="000000"/>
          <w:vertAlign w:val="superscript"/>
        </w:rPr>
        <w:t>I</w:t>
      </w:r>
      <w:r>
        <w:rPr>
          <w:rFonts w:ascii="Times New Roman" w:hAnsi="Times New Roman"/>
          <w:bCs/>
          <w:iCs/>
          <w:color w:val="000000"/>
          <w:vertAlign w:val="superscript"/>
        </w:rPr>
        <w:t>I</w:t>
      </w:r>
    </w:p>
    <w:p w:rsidR="00FD3AE3" w:rsidRPr="00347E36" w:rsidRDefault="00FD3AE3" w:rsidP="00FD3AE3">
      <w:pPr>
        <w:spacing w:after="0" w:line="240" w:lineRule="auto"/>
        <w:jc w:val="center"/>
        <w:rPr>
          <w:rStyle w:val="Hipervnculo"/>
          <w:rFonts w:ascii="Times New Roman" w:hAnsi="Times New Roman"/>
          <w:u w:val="none"/>
        </w:rPr>
      </w:pPr>
      <w:r w:rsidRPr="00FD3AE3">
        <w:rPr>
          <w:rStyle w:val="Hipervnculo"/>
          <w:rFonts w:ascii="Times New Roman" w:hAnsi="Times New Roman"/>
          <w:u w:val="none"/>
        </w:rPr>
        <w:t>edwin_johny@unasam.edu.pe</w:t>
      </w:r>
    </w:p>
    <w:p w:rsidR="00FD3AE3" w:rsidRPr="00FF1AC5" w:rsidRDefault="00FD3AE3" w:rsidP="00FD3AE3">
      <w:pPr>
        <w:spacing w:after="0" w:line="240" w:lineRule="auto"/>
        <w:jc w:val="center"/>
        <w:rPr>
          <w:rStyle w:val="Hipervnculo"/>
          <w:rFonts w:ascii="Times New Roman" w:hAnsi="Times New Roman"/>
          <w:u w:val="none"/>
        </w:rPr>
      </w:pPr>
      <w:r w:rsidRPr="00FD3AE3">
        <w:rPr>
          <w:rStyle w:val="Hipervnculo"/>
          <w:rFonts w:ascii="Times New Roman" w:hAnsi="Times New Roman"/>
          <w:u w:val="none"/>
        </w:rPr>
        <w:t>https://orcid.org/0000-0002-4319-8964</w:t>
      </w:r>
    </w:p>
    <w:p w:rsidR="00FD3AE3" w:rsidRPr="00FD3AE3" w:rsidRDefault="00FD3AE3" w:rsidP="00FF5C0F">
      <w:pPr>
        <w:spacing w:after="0" w:line="360" w:lineRule="auto"/>
        <w:jc w:val="center"/>
        <w:rPr>
          <w:rFonts w:ascii="Times New Roman" w:hAnsi="Times New Roman"/>
          <w:sz w:val="24"/>
          <w:szCs w:val="24"/>
          <w:lang w:eastAsia="zh-CN"/>
        </w:rPr>
      </w:pPr>
    </w:p>
    <w:p w:rsidR="00FF5C0F" w:rsidRPr="007303CD" w:rsidRDefault="00FF5C0F" w:rsidP="00FF5C0F">
      <w:pPr>
        <w:spacing w:after="0" w:line="360" w:lineRule="auto"/>
        <w:jc w:val="center"/>
        <w:rPr>
          <w:rStyle w:val="Hipervnculo"/>
          <w:rFonts w:ascii="Times New Roman" w:hAnsi="Times New Roman"/>
          <w:sz w:val="24"/>
          <w:szCs w:val="24"/>
          <w:u w:val="none"/>
        </w:rPr>
      </w:pPr>
      <w:r w:rsidRPr="007303CD">
        <w:rPr>
          <w:rFonts w:ascii="Times New Roman" w:hAnsi="Times New Roman"/>
          <w:b/>
          <w:sz w:val="24"/>
          <w:szCs w:val="24"/>
          <w:lang w:eastAsia="zh-CN"/>
        </w:rPr>
        <w:t xml:space="preserve">Correspondencia: </w:t>
      </w:r>
      <w:r w:rsidR="00FD3AE3" w:rsidRPr="00FD3AE3">
        <w:rPr>
          <w:rFonts w:ascii="Times New Roman" w:hAnsi="Times New Roman"/>
          <w:color w:val="0563C1"/>
          <w:sz w:val="24"/>
          <w:szCs w:val="24"/>
          <w:lang w:val="es-MX"/>
        </w:rPr>
        <w:t>pfalconr@unasam.edu.pe</w:t>
      </w:r>
    </w:p>
    <w:p w:rsidR="00E97FC3" w:rsidRPr="00E97FC3" w:rsidRDefault="00E97FC3" w:rsidP="00E97FC3">
      <w:pPr>
        <w:spacing w:after="0"/>
        <w:jc w:val="center"/>
        <w:rPr>
          <w:rFonts w:ascii="Times New Roman" w:hAnsi="Times New Roman"/>
          <w:szCs w:val="24"/>
        </w:rPr>
      </w:pPr>
      <w:r w:rsidRPr="00E97FC3">
        <w:rPr>
          <w:rFonts w:ascii="Times New Roman" w:hAnsi="Times New Roman"/>
          <w:szCs w:val="24"/>
        </w:rPr>
        <w:t xml:space="preserve">Ciencias </w:t>
      </w:r>
      <w:r w:rsidR="007F38E3">
        <w:rPr>
          <w:rFonts w:ascii="Times New Roman" w:hAnsi="Times New Roman"/>
          <w:szCs w:val="24"/>
        </w:rPr>
        <w:t>técnicas y aplicadas</w:t>
      </w:r>
      <w:r w:rsidR="00F87A76">
        <w:rPr>
          <w:rFonts w:ascii="Times New Roman" w:hAnsi="Times New Roman"/>
          <w:szCs w:val="24"/>
        </w:rPr>
        <w:t xml:space="preserve"> </w:t>
      </w:r>
    </w:p>
    <w:p w:rsidR="00FF5C0F" w:rsidRPr="00B3350F" w:rsidRDefault="00E97FC3" w:rsidP="00E97FC3">
      <w:pPr>
        <w:spacing w:after="0"/>
        <w:jc w:val="center"/>
        <w:rPr>
          <w:rFonts w:ascii="Times New Roman" w:hAnsi="Times New Roman"/>
          <w:szCs w:val="24"/>
        </w:rPr>
      </w:pPr>
      <w:r w:rsidRPr="00E97FC3">
        <w:rPr>
          <w:rFonts w:ascii="Times New Roman" w:hAnsi="Times New Roman"/>
          <w:szCs w:val="24"/>
        </w:rPr>
        <w:t xml:space="preserve">Artículos de </w:t>
      </w:r>
      <w:r w:rsidR="00BE2DF5">
        <w:rPr>
          <w:rFonts w:ascii="Times New Roman" w:hAnsi="Times New Roman"/>
          <w:szCs w:val="24"/>
        </w:rPr>
        <w:t>investigac</w:t>
      </w:r>
      <w:r w:rsidR="00815EB8">
        <w:rPr>
          <w:rFonts w:ascii="Times New Roman" w:hAnsi="Times New Roman"/>
          <w:szCs w:val="24"/>
        </w:rPr>
        <w:t>ión</w:t>
      </w:r>
    </w:p>
    <w:p w:rsidR="001B124B" w:rsidRPr="00E5042B" w:rsidRDefault="001B124B" w:rsidP="001B124B">
      <w:pPr>
        <w:spacing w:after="0"/>
        <w:jc w:val="center"/>
        <w:rPr>
          <w:rFonts w:ascii="Times New Roman" w:hAnsi="Times New Roman"/>
          <w:sz w:val="10"/>
        </w:rPr>
      </w:pPr>
    </w:p>
    <w:p w:rsidR="00545A9F"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sidR="00CF2F0B">
        <w:rPr>
          <w:rFonts w:ascii="Times New Roman" w:hAnsi="Times New Roman"/>
          <w:b/>
          <w:sz w:val="20"/>
          <w:szCs w:val="20"/>
          <w:lang w:eastAsia="es-EC"/>
        </w:rPr>
        <w:t xml:space="preserve">Recibido: </w:t>
      </w:r>
      <w:r w:rsidR="00F06A19">
        <w:rPr>
          <w:rFonts w:ascii="Times New Roman" w:hAnsi="Times New Roman"/>
          <w:sz w:val="20"/>
          <w:szCs w:val="20"/>
          <w:lang w:eastAsia="es-EC"/>
        </w:rPr>
        <w:t>1</w:t>
      </w:r>
      <w:r w:rsidR="00CF2F0B">
        <w:rPr>
          <w:rFonts w:ascii="Times New Roman" w:hAnsi="Times New Roman"/>
          <w:sz w:val="20"/>
          <w:szCs w:val="20"/>
          <w:lang w:eastAsia="es-EC"/>
        </w:rPr>
        <w:t>6</w:t>
      </w:r>
      <w:r w:rsidR="00545A9F">
        <w:rPr>
          <w:rFonts w:ascii="Times New Roman" w:hAnsi="Times New Roman"/>
          <w:sz w:val="20"/>
          <w:szCs w:val="20"/>
          <w:lang w:eastAsia="es-EC"/>
        </w:rPr>
        <w:t xml:space="preserve"> de </w:t>
      </w:r>
      <w:r w:rsidR="00F06A19">
        <w:rPr>
          <w:rFonts w:ascii="Times New Roman" w:hAnsi="Times New Roman"/>
          <w:sz w:val="20"/>
          <w:szCs w:val="20"/>
          <w:lang w:eastAsia="es-EC"/>
        </w:rPr>
        <w:t>marzo</w:t>
      </w:r>
      <w:r w:rsidR="001A5F48" w:rsidRPr="005A50F0">
        <w:rPr>
          <w:rFonts w:ascii="Times New Roman" w:hAnsi="Times New Roman"/>
          <w:sz w:val="20"/>
          <w:szCs w:val="20"/>
          <w:lang w:eastAsia="es-EC"/>
        </w:rPr>
        <w:t xml:space="preserve"> de 202</w:t>
      </w:r>
      <w:r w:rsidR="0006758A">
        <w:rPr>
          <w:rFonts w:ascii="Times New Roman" w:hAnsi="Times New Roman"/>
          <w:sz w:val="20"/>
          <w:szCs w:val="20"/>
          <w:lang w:eastAsia="es-EC"/>
        </w:rPr>
        <w:t>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E97FC3">
        <w:rPr>
          <w:rFonts w:ascii="Times New Roman" w:hAnsi="Times New Roman"/>
          <w:sz w:val="20"/>
          <w:szCs w:val="20"/>
          <w:lang w:eastAsia="es-EC"/>
        </w:rPr>
        <w:t>22</w:t>
      </w:r>
      <w:r w:rsidR="00545A9F">
        <w:rPr>
          <w:rFonts w:ascii="Times New Roman" w:hAnsi="Times New Roman"/>
          <w:sz w:val="20"/>
          <w:szCs w:val="20"/>
          <w:lang w:eastAsia="es-EC"/>
        </w:rPr>
        <w:t xml:space="preserve"> de </w:t>
      </w:r>
      <w:r w:rsidR="00F06A19">
        <w:rPr>
          <w:rFonts w:ascii="Times New Roman" w:hAnsi="Times New Roman"/>
          <w:sz w:val="20"/>
          <w:szCs w:val="20"/>
          <w:lang w:eastAsia="es-EC"/>
        </w:rPr>
        <w:t>abril</w:t>
      </w:r>
      <w:r w:rsidR="0005635E">
        <w:rPr>
          <w:rFonts w:ascii="Times New Roman" w:hAnsi="Times New Roman"/>
          <w:sz w:val="20"/>
          <w:szCs w:val="20"/>
          <w:lang w:eastAsia="es-EC"/>
        </w:rPr>
        <w:t xml:space="preserve"> </w:t>
      </w:r>
      <w:r w:rsidR="001A5F48">
        <w:rPr>
          <w:rFonts w:ascii="Times New Roman" w:hAnsi="Times New Roman"/>
          <w:sz w:val="20"/>
          <w:szCs w:val="20"/>
          <w:lang w:eastAsia="es-EC"/>
        </w:rPr>
        <w:t xml:space="preserve">de 2021 </w:t>
      </w:r>
      <w:r w:rsidR="00E20D91" w:rsidRPr="00E323DB">
        <w:rPr>
          <w:rFonts w:ascii="Times New Roman" w:hAnsi="Times New Roman"/>
          <w:b/>
          <w:sz w:val="20"/>
          <w:szCs w:val="20"/>
          <w:lang w:eastAsia="es-EC"/>
        </w:rPr>
        <w:t>* Publicado:</w:t>
      </w:r>
      <w:r w:rsidR="005C1393">
        <w:rPr>
          <w:rFonts w:ascii="Times New Roman" w:hAnsi="Times New Roman"/>
          <w:sz w:val="20"/>
          <w:szCs w:val="20"/>
          <w:lang w:eastAsia="es-EC"/>
        </w:rPr>
        <w:t xml:space="preserve"> </w:t>
      </w:r>
      <w:r w:rsidR="006318CF">
        <w:rPr>
          <w:rFonts w:ascii="Times New Roman" w:hAnsi="Times New Roman"/>
          <w:sz w:val="20"/>
          <w:szCs w:val="20"/>
          <w:lang w:eastAsia="es-EC"/>
        </w:rPr>
        <w:t>0</w:t>
      </w:r>
      <w:r w:rsidR="00E97FC3">
        <w:rPr>
          <w:rFonts w:ascii="Times New Roman" w:hAnsi="Times New Roman"/>
          <w:sz w:val="20"/>
          <w:szCs w:val="20"/>
          <w:lang w:eastAsia="es-EC"/>
        </w:rPr>
        <w:t>5</w:t>
      </w:r>
      <w:r w:rsidR="00CF2F0B">
        <w:rPr>
          <w:rFonts w:ascii="Times New Roman" w:hAnsi="Times New Roman"/>
          <w:sz w:val="20"/>
          <w:szCs w:val="20"/>
          <w:lang w:eastAsia="es-EC"/>
        </w:rPr>
        <w:t xml:space="preserve"> de </w:t>
      </w:r>
      <w:r w:rsidR="00F06A19">
        <w:rPr>
          <w:rFonts w:ascii="Times New Roman" w:hAnsi="Times New Roman"/>
          <w:sz w:val="20"/>
          <w:szCs w:val="20"/>
          <w:lang w:eastAsia="es-EC"/>
        </w:rPr>
        <w:t>mayo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737F71" w:rsidRDefault="00737F71" w:rsidP="0061169D">
      <w:pPr>
        <w:pStyle w:val="Sinespaciado"/>
        <w:spacing w:line="360" w:lineRule="auto"/>
        <w:jc w:val="center"/>
        <w:rPr>
          <w:rFonts w:ascii="Times New Roman" w:hAnsi="Times New Roman"/>
          <w:sz w:val="20"/>
          <w:szCs w:val="20"/>
          <w:lang w:eastAsia="es-EC"/>
        </w:rPr>
      </w:pPr>
    </w:p>
    <w:p w:rsidR="00FD3AE3" w:rsidRPr="00FD3AE3" w:rsidRDefault="00FD3AE3" w:rsidP="00FD3AE3">
      <w:pPr>
        <w:pStyle w:val="Prrafodelista"/>
        <w:numPr>
          <w:ilvl w:val="0"/>
          <w:numId w:val="5"/>
        </w:numPr>
        <w:spacing w:after="0" w:line="360" w:lineRule="auto"/>
        <w:jc w:val="both"/>
        <w:rPr>
          <w:rFonts w:ascii="Times New Roman" w:hAnsi="Times New Roman"/>
          <w:color w:val="000000"/>
          <w:sz w:val="24"/>
          <w:szCs w:val="23"/>
          <w:lang w:eastAsia="es-EC"/>
        </w:rPr>
      </w:pPr>
      <w:r>
        <w:rPr>
          <w:rFonts w:ascii="Times New Roman" w:hAnsi="Times New Roman"/>
          <w:color w:val="000000"/>
          <w:sz w:val="24"/>
          <w:szCs w:val="23"/>
          <w:lang w:eastAsia="es-EC"/>
        </w:rPr>
        <w:t>Doctora en Ingeniería de Alimentos,</w:t>
      </w:r>
      <w:r w:rsidRPr="00FD3AE3">
        <w:rPr>
          <w:rFonts w:ascii="Times New Roman" w:hAnsi="Times New Roman"/>
          <w:color w:val="000000"/>
          <w:sz w:val="24"/>
          <w:szCs w:val="23"/>
          <w:lang w:eastAsia="es-EC"/>
        </w:rPr>
        <w:t xml:space="preserve"> Universidad Nacional Santiago Antúnez de Mayolo</w:t>
      </w:r>
      <w:r>
        <w:rPr>
          <w:rFonts w:ascii="Times New Roman" w:hAnsi="Times New Roman"/>
          <w:color w:val="000000"/>
          <w:sz w:val="24"/>
          <w:szCs w:val="23"/>
          <w:lang w:eastAsia="es-EC"/>
        </w:rPr>
        <w:t>, Huaraz,</w:t>
      </w:r>
      <w:r w:rsidRPr="00FD3AE3">
        <w:rPr>
          <w:rFonts w:ascii="Times New Roman" w:hAnsi="Times New Roman"/>
          <w:color w:val="000000"/>
          <w:sz w:val="24"/>
          <w:szCs w:val="23"/>
          <w:lang w:eastAsia="es-EC"/>
        </w:rPr>
        <w:t xml:space="preserve"> Perú.</w:t>
      </w:r>
    </w:p>
    <w:p w:rsidR="002D2D3C" w:rsidRPr="00737F71" w:rsidRDefault="00FD3AE3" w:rsidP="00FD3AE3">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737F71"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r w:rsidRPr="00FD3AE3">
        <w:rPr>
          <w:rFonts w:ascii="Times New Roman" w:hAnsi="Times New Roman"/>
          <w:color w:val="000000"/>
          <w:sz w:val="24"/>
          <w:szCs w:val="23"/>
          <w:lang w:eastAsia="es-EC"/>
        </w:rPr>
        <w:t xml:space="preserve">Doctor </w:t>
      </w:r>
      <w:r>
        <w:rPr>
          <w:rFonts w:ascii="Times New Roman" w:hAnsi="Times New Roman"/>
          <w:bCs/>
          <w:iCs/>
          <w:sz w:val="24"/>
          <w:szCs w:val="24"/>
        </w:rPr>
        <w:t>en Ingeniería de la</w:t>
      </w:r>
      <w:r w:rsidRPr="00FD3AE3">
        <w:rPr>
          <w:rFonts w:ascii="Times New Roman" w:hAnsi="Times New Roman"/>
          <w:color w:val="000000"/>
          <w:sz w:val="24"/>
          <w:szCs w:val="23"/>
          <w:lang w:eastAsia="es-EC"/>
        </w:rPr>
        <w:t xml:space="preserve"> Computación</w:t>
      </w:r>
      <w:r>
        <w:rPr>
          <w:rFonts w:ascii="Times New Roman" w:hAnsi="Times New Roman"/>
          <w:color w:val="000000"/>
          <w:sz w:val="24"/>
          <w:szCs w:val="23"/>
          <w:lang w:eastAsia="es-EC"/>
        </w:rPr>
        <w:t>,</w:t>
      </w:r>
      <w:r w:rsidRPr="00FD3AE3">
        <w:rPr>
          <w:rFonts w:ascii="Times New Roman" w:hAnsi="Times New Roman"/>
          <w:color w:val="000000"/>
          <w:sz w:val="24"/>
          <w:szCs w:val="23"/>
          <w:lang w:eastAsia="es-EC"/>
        </w:rPr>
        <w:t xml:space="preserve"> Universidad Nacional Santiago Antúnez de Mayolo</w:t>
      </w:r>
      <w:r>
        <w:rPr>
          <w:rFonts w:ascii="Times New Roman" w:hAnsi="Times New Roman"/>
          <w:color w:val="000000"/>
          <w:sz w:val="24"/>
          <w:szCs w:val="23"/>
          <w:lang w:eastAsia="es-EC"/>
        </w:rPr>
        <w:t>, Huaraz,</w:t>
      </w:r>
      <w:r w:rsidRPr="00FD3AE3">
        <w:rPr>
          <w:rFonts w:ascii="Times New Roman" w:hAnsi="Times New Roman"/>
          <w:color w:val="000000"/>
          <w:sz w:val="24"/>
          <w:szCs w:val="23"/>
          <w:lang w:eastAsia="es-EC"/>
        </w:rPr>
        <w:t xml:space="preserve"> Perú</w:t>
      </w:r>
      <w:r w:rsidR="00347E36">
        <w:rPr>
          <w:rFonts w:ascii="Times New Roman" w:hAnsi="Times New Roman"/>
          <w:color w:val="000000"/>
          <w:sz w:val="24"/>
          <w:szCs w:val="23"/>
          <w:lang w:eastAsia="es-EC"/>
        </w:rPr>
        <w:t>.</w:t>
      </w: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FD3AE3" w:rsidRPr="00FD3AE3" w:rsidRDefault="00FD3AE3" w:rsidP="00FD3AE3">
      <w:pPr>
        <w:spacing w:after="0" w:line="360" w:lineRule="auto"/>
        <w:jc w:val="both"/>
        <w:rPr>
          <w:rFonts w:ascii="Times New Roman" w:hAnsi="Times New Roman"/>
          <w:sz w:val="24"/>
          <w:szCs w:val="24"/>
        </w:rPr>
      </w:pPr>
      <w:r w:rsidRPr="00FD3AE3">
        <w:rPr>
          <w:rFonts w:ascii="Times New Roman" w:hAnsi="Times New Roman"/>
          <w:sz w:val="24"/>
          <w:szCs w:val="24"/>
        </w:rPr>
        <w:t xml:space="preserve">La investigación   tuvo  como objetivo determinar la influencia de la concentración del nutriente   V  ACTIV  y de los azucares en la maceración fermentativa  de una bebida elaborada con capulí, se desarrollo  en la segunda etapa de  la investigación matriz,  busco encontrar la proporción óptima de nutriente y azucares que logren  el mayor grado alcohólico con el propósito  de  desarrollar un nuevo producto con  mayor contenido de polifenoles.   Se aplico la metodología  de superficie respuesta mediante un diseño  central compuesto rotacional  que determino   11 tratamientos  con combinaciones de azucares y nutriente. Las variables independientes fueron  la concentración de nutriente  y ºBrix, las variables dependientes fueron: variación de los ºBrix, variación del pH, grado alcohólico, tiempo. Los resultados fueron: ºBrix 28%, pH 4.7, Nutriente 25 g/hectolitro, tiempo   10 días, grado alcohólico 12.83. El análisis estadistico utilizó  el   software STATISTICA 13.3. Dando como resultado  en el ANOVA para las variables dependientes  grado alcohólico  y tiempo  que hay influencia   del ºBrix con una significancia del 95 %. En   el ANOVA para la variable dependiente  pH  no  tuvo influencia significativa   con una significancia  del  95%. Se concluyo que   la    concentración  de azucares y nutriente  tienen efecto positivo  en la extractibilidad de  polifenoles. </w:t>
      </w:r>
    </w:p>
    <w:p w:rsidR="00AF53E9" w:rsidRPr="00AF53E9" w:rsidRDefault="00FD3AE3" w:rsidP="00FD3AE3">
      <w:pPr>
        <w:spacing w:after="0" w:line="360" w:lineRule="auto"/>
        <w:jc w:val="both"/>
        <w:rPr>
          <w:rFonts w:ascii="Times New Roman" w:hAnsi="Times New Roman"/>
          <w:sz w:val="24"/>
          <w:szCs w:val="24"/>
        </w:rPr>
      </w:pPr>
      <w:r w:rsidRPr="00FD3AE3">
        <w:rPr>
          <w:rFonts w:ascii="Times New Roman" w:hAnsi="Times New Roman"/>
          <w:b/>
          <w:sz w:val="24"/>
          <w:szCs w:val="24"/>
        </w:rPr>
        <w:t>Palabras clave:</w:t>
      </w:r>
      <w:r w:rsidRPr="00FD3AE3">
        <w:rPr>
          <w:rFonts w:ascii="Times New Roman" w:hAnsi="Times New Roman"/>
          <w:sz w:val="24"/>
          <w:szCs w:val="24"/>
        </w:rPr>
        <w:t xml:space="preserve"> Maceración fermentativa; capulí (Prunus serotina); bebida fermentada; vinificación en tinto;  polifenoles</w:t>
      </w:r>
      <w:r w:rsidR="00AF53E9" w:rsidRPr="00AF53E9">
        <w:rPr>
          <w:rFonts w:ascii="Times New Roman" w:hAnsi="Times New Roman"/>
          <w:sz w:val="24"/>
          <w:szCs w:val="24"/>
        </w:rPr>
        <w:t xml:space="preserve">. </w:t>
      </w:r>
    </w:p>
    <w:p w:rsidR="00FF5C0F" w:rsidRPr="009A1E38" w:rsidRDefault="00FF5C0F" w:rsidP="00FF5C0F">
      <w:pPr>
        <w:spacing w:after="0" w:line="360" w:lineRule="auto"/>
        <w:jc w:val="both"/>
        <w:rPr>
          <w:rFonts w:ascii="Times New Roman" w:hAnsi="Times New Roman"/>
          <w:b/>
          <w:sz w:val="24"/>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FD3AE3" w:rsidRPr="00FD3AE3" w:rsidRDefault="00FD3AE3" w:rsidP="00EF07E6">
      <w:pPr>
        <w:spacing w:after="0" w:line="360" w:lineRule="auto"/>
        <w:jc w:val="both"/>
        <w:rPr>
          <w:rFonts w:ascii="Times New Roman" w:hAnsi="Times New Roman"/>
          <w:sz w:val="24"/>
          <w:szCs w:val="24"/>
          <w:lang w:val="en-US"/>
        </w:rPr>
      </w:pPr>
      <w:r w:rsidRPr="00FD3AE3">
        <w:rPr>
          <w:rFonts w:ascii="Times New Roman" w:hAnsi="Times New Roman"/>
          <w:sz w:val="24"/>
          <w:szCs w:val="24"/>
          <w:lang w:val="en-US"/>
        </w:rPr>
        <w:t>The objective of the research was to determine the influence of the concentration of the nutrient V ACTIV and of the sugars in the fermentative maceration of a drink made with capulí, it was developed in the second stage of the matrix research, I seek to find the optimal proportion of nutrient and sugars that achieve the highest alcoholic strength in order to develop a new product with a higher content of polyphenols. The response surface methodology was applied through a rotational compound central design that determined 11 treatments with combinations of sugars and nutrients. The independent variables were the nutrient concentration and ºBrix, the dependent variables were: variation of ºBrix, variation of pH, alcoholic degree, time. The results were: ºBrix 28%, pH 4.7, Nutrient 25 g / hectoliter, time 10 days, alcoholic degree 12.83. Statistical analysis used the STATISTICA 13.3 software. Resulting in the ANOVA for the dependent variables alcoholic degree and time that there is influence of ºBrix with a significance of 95%. In the ANOVA for the dependent variable pH it did not have significant influence with a significance of 95%. It was concluded that the concentration of sugars and nutrients have a positive effect on the extractability of polyphenols</w:t>
      </w:r>
    </w:p>
    <w:p w:rsidR="00FF5C0F" w:rsidRDefault="00FD3AE3" w:rsidP="00FD3AE3">
      <w:pPr>
        <w:spacing w:after="0" w:line="360" w:lineRule="auto"/>
        <w:jc w:val="both"/>
        <w:rPr>
          <w:rFonts w:ascii="Times New Roman" w:hAnsi="Times New Roman"/>
          <w:sz w:val="24"/>
          <w:szCs w:val="24"/>
          <w:lang w:val="en-US"/>
        </w:rPr>
      </w:pPr>
      <w:r w:rsidRPr="00FD3AE3">
        <w:rPr>
          <w:rFonts w:ascii="Times New Roman" w:hAnsi="Times New Roman"/>
          <w:b/>
          <w:sz w:val="24"/>
          <w:szCs w:val="24"/>
          <w:lang w:val="en-US"/>
        </w:rPr>
        <w:t>Keywords:</w:t>
      </w:r>
      <w:r w:rsidRPr="00FD3AE3">
        <w:rPr>
          <w:rFonts w:ascii="Times New Roman" w:hAnsi="Times New Roman"/>
          <w:sz w:val="24"/>
          <w:szCs w:val="24"/>
          <w:lang w:val="en-US"/>
        </w:rPr>
        <w:t xml:space="preserve"> Fermentative maceration; capulí (Prunus serotina); fermented drink; red winemaking; polyphenols</w:t>
      </w:r>
      <w:r w:rsidR="00FF5C0F" w:rsidRPr="00687C99">
        <w:rPr>
          <w:rFonts w:ascii="Times New Roman" w:hAnsi="Times New Roman"/>
          <w:sz w:val="24"/>
          <w:szCs w:val="24"/>
          <w:lang w:val="en-US"/>
        </w:rPr>
        <w:t>.</w:t>
      </w:r>
    </w:p>
    <w:p w:rsidR="00F87A76" w:rsidRPr="00441EF0" w:rsidRDefault="00F87A76" w:rsidP="00F87A76">
      <w:pPr>
        <w:spacing w:after="0" w:line="360" w:lineRule="auto"/>
        <w:jc w:val="both"/>
        <w:rPr>
          <w:rFonts w:ascii="Times New Roman" w:hAnsi="Times New Roman"/>
          <w:b/>
          <w:sz w:val="26"/>
          <w:szCs w:val="26"/>
          <w:lang w:val="en-US"/>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FD3AE3" w:rsidRPr="00FD3AE3" w:rsidRDefault="00FD3AE3" w:rsidP="00FD3AE3">
      <w:pPr>
        <w:spacing w:after="0" w:line="360" w:lineRule="auto"/>
        <w:jc w:val="both"/>
        <w:rPr>
          <w:rFonts w:ascii="Times New Roman" w:hAnsi="Times New Roman"/>
          <w:sz w:val="24"/>
          <w:szCs w:val="24"/>
        </w:rPr>
      </w:pPr>
      <w:r w:rsidRPr="00FD3AE3">
        <w:rPr>
          <w:rFonts w:ascii="Times New Roman" w:hAnsi="Times New Roman"/>
          <w:sz w:val="24"/>
          <w:szCs w:val="24"/>
        </w:rPr>
        <w:t>O objetivo da pesquisa foi determinar a influência da concentração do nutriente V ACTIV e dos açúcares na maceração fermentativa de uma bebida feita com capulí, foi desenvolvida na segunda etapa da pesquisa da matriz, busco encontrar a Proporção ótima de nutrientes e açúcares que atingem o maior teor alcoólico para desenvolver um novo produto com maior teor de polifenóis. A metodologia de superfície de resposta foi aplicada por meio de um delineamento central composto rotacional que determinou 11 tratamentos com combinações de açúcares e nutrientes. As variáveis ​​independentes foram a concentração de nutrientes e ºBrix, as variáveis ​​dependentes foram: variação de ºBrix, variação de pH, grau alcoólico, tempo. Os resultados foram: ºBrix 28%, pH 4,7, Nutriente 25 g / hectolitro, tempo 10 dias, grau alcoólico 12,83. A análise estatística utilizou o software STATISTICA 13.3. Resultando na ANOVA para as variáveis ​​dependentes grau alcoólico e tempo que existe influência do ºBrix com significância de 95%. Na ANOVA para a variável dependente pH não houve influência significativa com significância de 95%. Concluiu-se que a concentração de açúcares e nutrientes tem efeito positivo na extração dos polifenóis.</w:t>
      </w:r>
    </w:p>
    <w:p w:rsidR="00FF5C0F" w:rsidRPr="00D26696" w:rsidRDefault="00FD3AE3" w:rsidP="00FD3AE3">
      <w:pPr>
        <w:spacing w:after="0" w:line="360" w:lineRule="auto"/>
        <w:jc w:val="both"/>
        <w:rPr>
          <w:rFonts w:ascii="Times New Roman" w:hAnsi="Times New Roman"/>
          <w:sz w:val="24"/>
          <w:szCs w:val="24"/>
        </w:rPr>
      </w:pPr>
      <w:r w:rsidRPr="00FD3AE3">
        <w:rPr>
          <w:rFonts w:ascii="Times New Roman" w:hAnsi="Times New Roman"/>
          <w:b/>
          <w:sz w:val="24"/>
          <w:szCs w:val="24"/>
        </w:rPr>
        <w:t>Palavras-chave:</w:t>
      </w:r>
      <w:r w:rsidRPr="00FD3AE3">
        <w:rPr>
          <w:rFonts w:ascii="Times New Roman" w:hAnsi="Times New Roman"/>
          <w:sz w:val="24"/>
          <w:szCs w:val="24"/>
        </w:rPr>
        <w:t xml:space="preserve"> Maceração fermentativa; capulí (Prunus serotina); bebida fermentada; vinificação tinto; polifenóis</w:t>
      </w:r>
      <w:r w:rsidR="00FF5C0F" w:rsidRPr="00CF5240">
        <w:rPr>
          <w:rFonts w:ascii="Times New Roman" w:hAnsi="Times New Roman"/>
          <w:sz w:val="24"/>
          <w:szCs w:val="24"/>
        </w:rPr>
        <w:t>.</w:t>
      </w:r>
    </w:p>
    <w:p w:rsidR="00FF5C0F"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FD3AE3" w:rsidRDefault="00FD3AE3" w:rsidP="00FD3AE3">
      <w:pPr>
        <w:spacing w:after="0" w:line="360" w:lineRule="auto"/>
        <w:jc w:val="both"/>
        <w:rPr>
          <w:rFonts w:ascii="Times New Roman" w:hAnsi="Times New Roman"/>
          <w:sz w:val="24"/>
          <w:szCs w:val="24"/>
        </w:rPr>
      </w:pPr>
      <w:r w:rsidRPr="00FD3AE3">
        <w:rPr>
          <w:rFonts w:ascii="Times New Roman" w:hAnsi="Times New Roman"/>
          <w:sz w:val="24"/>
          <w:szCs w:val="24"/>
        </w:rPr>
        <w:t xml:space="preserve">El trabajo de investigación  que se presenta  correspondió al segundo objetivo  de una investigación  matriz denominada: Elaboración y caracterización de una bebida fermentada con capulí (Prunus serotina) con maceración prefermentativa.  El   objetivo evaluó  la influencia de la concentración del nutriente (10-40g /Hl ) V ACTIV   y la concentración de azucares (18-28%)  en la  maceración fermentativa  alcohólica     llevada a cabo con un mosto de pasta de capulí   y agua dilución 1:3 (1 pasta/ 2  agua),  siguiendo el método de vinificación en tinto para  encontrar la concentración optima de  nutriente y azucares  para la formulación de la bebida fermentada de capulí (Prunus serotina)  que logre la mayor extracción de polifenoles. Siendo esta la justificación, que se trata  de  desarrollar un nuevo producto  para revalorizar  el fruto del capulí. Urcuango (2014) sostiene  que  este fruto  encuentra en peligro de extinción  y amenazado por las costumbres.  No obstante   no es valorizado  y es  necesario  que se le de la  importancia e inclusión  en programas de conservación  y aprovechamiento sostenible (Guzmán  et al.,  2020).  El capulí  es un alimento saludable, su consumo puede  prevenir la aparición   de enfermedades degenerativas (Ruiz et al., 2017). El capulí  puede emplearse para  la elaboración de subproductos de la industria alimentaria,   siendo la bebida fermentada de capulí un alimento nutracéutico, ya que la fermentación  enriquece el perfil Fitoquímico de las materias primas (Jiménez,  2019). La maceración   se lleva a cabo  durante la fermentación, comprendiendo un período de 3 a 10 días, alcanzando para casi todos los compuestos de interés el máximo de su nivel de extracción, se   produce cuanto el mosto entra en contacto con los hollejos y la pulpa de la uva en un mismo depósito, con el objetivo de que los compuestos aromáticos y de estructura que se encuentran en la piel y en las capas de células que están inmediatamente debajo de la misma,  pasen al mosto para proporcionar al futuro vino, aromas varietales, color y estructura. (Codáx, 2016). Cuando arranca la fermentación, se produce alcohol, gas carbónico y por la elevación de la temperatura del medio  se empiezan a extraer los taninos de la piel y pepitas  que se combinan con los antocianos  formando un compuesto estable  que favorece la crianza en barrica (Macías, 2018).   En la maceración fermentativa  el mosto pasa ser  un mosto alcohólico  donde a mayor concentración alcohólica mayor extracción de polifenoles (Requena,  2015).   La concentración óptima del nutriente (V ACTIV)  fue de 0.25g/hl de mosto y  28 ºBrix , levadura vinica Saccharomyces cereviciae variedad bayanus  40 g/hl,   empleo de pie de cuba,  temperatura  17ºC y pH inicial 4.7, dilución optima  1.3( 1 parte de  pasta de capulí y 2 partes de agua) </w:t>
      </w:r>
    </w:p>
    <w:p w:rsidR="00FD3AE3" w:rsidRPr="00EF07E6" w:rsidRDefault="00FD3AE3" w:rsidP="00FD3AE3">
      <w:pPr>
        <w:spacing w:after="0" w:line="360" w:lineRule="auto"/>
        <w:jc w:val="both"/>
        <w:rPr>
          <w:rFonts w:ascii="Times New Roman" w:hAnsi="Times New Roman"/>
          <w:szCs w:val="24"/>
        </w:rPr>
      </w:pPr>
    </w:p>
    <w:p w:rsidR="00FD3AE3" w:rsidRPr="00FD3AE3" w:rsidRDefault="00FD3AE3" w:rsidP="00FD3AE3">
      <w:pPr>
        <w:spacing w:after="0" w:line="360" w:lineRule="auto"/>
        <w:jc w:val="both"/>
        <w:rPr>
          <w:rFonts w:ascii="Times New Roman" w:hAnsi="Times New Roman"/>
          <w:b/>
          <w:sz w:val="26"/>
          <w:szCs w:val="26"/>
        </w:rPr>
      </w:pPr>
      <w:r w:rsidRPr="00FD3AE3">
        <w:rPr>
          <w:rFonts w:ascii="Times New Roman" w:hAnsi="Times New Roman"/>
          <w:b/>
          <w:sz w:val="26"/>
          <w:szCs w:val="26"/>
        </w:rPr>
        <w:t xml:space="preserve">Materiales y métodos </w:t>
      </w:r>
    </w:p>
    <w:p w:rsidR="00FD3AE3" w:rsidRDefault="00FD3AE3" w:rsidP="00FD3AE3">
      <w:pPr>
        <w:spacing w:after="0" w:line="360" w:lineRule="auto"/>
        <w:jc w:val="both"/>
        <w:rPr>
          <w:rFonts w:ascii="Times New Roman" w:hAnsi="Times New Roman"/>
          <w:sz w:val="24"/>
          <w:szCs w:val="24"/>
        </w:rPr>
      </w:pPr>
      <w:r w:rsidRPr="00FD3AE3">
        <w:rPr>
          <w:rFonts w:ascii="Times New Roman" w:hAnsi="Times New Roman"/>
          <w:sz w:val="24"/>
          <w:szCs w:val="24"/>
        </w:rPr>
        <w:t>El   trabajo de investigación  se realizó en  los laboratorios de fermentaciones industriales,  análisis de los alimentos  de la Universidad Nacional Santiago Antúnez de Mayolo,en Huaraz Áncash y en  el  laboratorio de desarrollo productos  de la Universidad Nacional del Santa, Chimbote  Áncash.   La población  fueron los frutos del capulí (Prunus serotina) de la provincia de Carhuaz,  la muestra: frutos maduros,  fue   no probalistica  y agua potable.  Los Insumos utilizados fueron: Azúcar blanca (Paramonga S.A.C.), Bentonita  OENOFRANCE. Levadura Saccharomyces cereviciae variedad  Bayanus, metabisulfito potásico,  nutriente enológico   V ACTIV,  reactivos diversos   para los análisis  químicos y físico químicos.  Equipos:    Licuadora,  refrigeradora,  alcoholímetro, vinometro, Mostimetro triple escala, acidómetro, centrifuga, balanza  analítica, estufa,    cocina,  peachimetro, termómetro. Materiales:   botellas de vidrio 500 ml para la fermentación, botellas de 200 ml.  Trampa de plástico, mangueras,  jarras y otros. El  Tipo de estudio fue experimental, cuantitativo. El diseño experimental  de la  maceración fermentativa  para determinar la influencia de la concentración del nutriente  y    la concentración de los azucares   utilizó    el diseño estadistico  Diseño Compuesto Central  Rotacional  aplico la metodología de superficie respuesta,  que determino 11 tratamientos  con combinaciones  de azucares (8- 28 %) y nutriente V ACTIV (10 a 40g/hectolitro) y  mosto  de la dilución 1:3 (1 parte de pasta de capulí /2 partes  de agua)  obtenido con  una maceración prefermentativa de 30 días -8ºC).  Las variables independientes fueron la concentración de azucares y la concentración de nutrientes las variables  dependientes se  clasificaron como variables de seguimiento (pH y ºBrix), las variables  de control final  fueron: el ºGrado alcohólico final, pH final, duración de la fermentación.  Los resultados se analizaron  con el software STATISCA13.3 que permitió resolver los cálculos  estadísticos de DCCR y ajustar el modelo predictivo (Velázquez 2017: p 196).</w:t>
      </w:r>
    </w:p>
    <w:p w:rsidR="00FD3AE3" w:rsidRPr="00EF07E6" w:rsidRDefault="00FD3AE3" w:rsidP="00FD3AE3">
      <w:pPr>
        <w:spacing w:after="0" w:line="360" w:lineRule="auto"/>
        <w:jc w:val="both"/>
        <w:rPr>
          <w:rFonts w:ascii="Times New Roman" w:hAnsi="Times New Roman"/>
          <w:szCs w:val="24"/>
        </w:rPr>
      </w:pPr>
    </w:p>
    <w:p w:rsidR="00FD3AE3" w:rsidRPr="00FD3AE3" w:rsidRDefault="00FD3AE3" w:rsidP="00FD3AE3">
      <w:pPr>
        <w:spacing w:after="0" w:line="360" w:lineRule="auto"/>
        <w:jc w:val="both"/>
        <w:rPr>
          <w:rFonts w:ascii="Times New Roman" w:hAnsi="Times New Roman"/>
          <w:b/>
          <w:sz w:val="24"/>
          <w:szCs w:val="24"/>
        </w:rPr>
      </w:pPr>
      <w:r w:rsidRPr="00FD3AE3">
        <w:rPr>
          <w:rFonts w:ascii="Times New Roman" w:hAnsi="Times New Roman"/>
          <w:b/>
          <w:sz w:val="24"/>
          <w:szCs w:val="24"/>
        </w:rPr>
        <w:t xml:space="preserve">Métodos de análisis:  </w:t>
      </w:r>
    </w:p>
    <w:p w:rsidR="00FD3AE3" w:rsidRPr="00FD3AE3" w:rsidRDefault="00FD3AE3" w:rsidP="00FD3AE3">
      <w:pPr>
        <w:spacing w:after="0" w:line="360" w:lineRule="auto"/>
        <w:jc w:val="both"/>
        <w:rPr>
          <w:rFonts w:ascii="Times New Roman" w:hAnsi="Times New Roman"/>
          <w:sz w:val="24"/>
          <w:szCs w:val="24"/>
        </w:rPr>
      </w:pPr>
      <w:r w:rsidRPr="00FD3AE3">
        <w:rPr>
          <w:rFonts w:ascii="Times New Roman" w:hAnsi="Times New Roman"/>
          <w:sz w:val="24"/>
          <w:szCs w:val="24"/>
        </w:rPr>
        <w:t>Análisis Físico químico durante el proceso maceración fermentativa  del mosto de capulí  dilución 1:3  obtenido con maceración prefermentativa de 30 días  -8º C.</w:t>
      </w:r>
    </w:p>
    <w:p w:rsidR="00FD3AE3" w:rsidRPr="00FD3AE3" w:rsidRDefault="00FD3AE3" w:rsidP="00FD3AE3">
      <w:pPr>
        <w:spacing w:after="0" w:line="360" w:lineRule="auto"/>
        <w:jc w:val="both"/>
        <w:rPr>
          <w:rFonts w:ascii="Times New Roman" w:hAnsi="Times New Roman"/>
          <w:sz w:val="24"/>
          <w:szCs w:val="24"/>
        </w:rPr>
      </w:pPr>
      <w:r w:rsidRPr="00FD3AE3">
        <w:rPr>
          <w:rFonts w:ascii="Times New Roman" w:hAnsi="Times New Roman"/>
          <w:sz w:val="24"/>
          <w:szCs w:val="24"/>
        </w:rPr>
        <w:t>-Sólidos solubles. (ºBrix) Método densimetrico   A.O.A.C (2005).</w:t>
      </w:r>
    </w:p>
    <w:p w:rsidR="00FD3AE3" w:rsidRPr="00FD3AE3" w:rsidRDefault="00FD3AE3" w:rsidP="00FD3AE3">
      <w:pPr>
        <w:spacing w:after="0" w:line="360" w:lineRule="auto"/>
        <w:jc w:val="both"/>
        <w:rPr>
          <w:rFonts w:ascii="Times New Roman" w:hAnsi="Times New Roman"/>
          <w:sz w:val="24"/>
          <w:szCs w:val="24"/>
        </w:rPr>
      </w:pPr>
      <w:r w:rsidRPr="00FD3AE3">
        <w:rPr>
          <w:rFonts w:ascii="Times New Roman" w:hAnsi="Times New Roman"/>
          <w:sz w:val="24"/>
          <w:szCs w:val="24"/>
        </w:rPr>
        <w:t>-pH. Método potenciométrico A.O.A.C (2005)</w:t>
      </w:r>
    </w:p>
    <w:p w:rsidR="00FD3AE3" w:rsidRDefault="00FD3AE3" w:rsidP="00FD3AE3">
      <w:pPr>
        <w:spacing w:after="0" w:line="360" w:lineRule="auto"/>
        <w:jc w:val="both"/>
        <w:rPr>
          <w:rFonts w:ascii="Times New Roman" w:hAnsi="Times New Roman"/>
          <w:sz w:val="24"/>
          <w:szCs w:val="24"/>
        </w:rPr>
      </w:pPr>
      <w:r w:rsidRPr="00FD3AE3">
        <w:rPr>
          <w:rFonts w:ascii="Times New Roman" w:hAnsi="Times New Roman"/>
          <w:sz w:val="24"/>
          <w:szCs w:val="24"/>
        </w:rPr>
        <w:t>- Temperatura externa  con un termómetro ambiental.</w:t>
      </w:r>
    </w:p>
    <w:p w:rsidR="00EF07E6" w:rsidRPr="00EF07E6" w:rsidRDefault="00EF07E6" w:rsidP="00FD3AE3">
      <w:pPr>
        <w:spacing w:after="0" w:line="360" w:lineRule="auto"/>
        <w:jc w:val="both"/>
        <w:rPr>
          <w:rFonts w:ascii="Times New Roman" w:hAnsi="Times New Roman"/>
          <w:szCs w:val="24"/>
        </w:rPr>
      </w:pPr>
    </w:p>
    <w:p w:rsidR="00FD3AE3" w:rsidRPr="00EB38BF" w:rsidRDefault="00FD3AE3" w:rsidP="00FD3AE3">
      <w:pPr>
        <w:spacing w:after="0" w:line="360" w:lineRule="auto"/>
        <w:jc w:val="both"/>
        <w:rPr>
          <w:rFonts w:ascii="Times New Roman" w:hAnsi="Times New Roman"/>
          <w:b/>
          <w:sz w:val="26"/>
          <w:szCs w:val="26"/>
        </w:rPr>
      </w:pPr>
      <w:r w:rsidRPr="00EB38BF">
        <w:rPr>
          <w:rFonts w:ascii="Times New Roman" w:hAnsi="Times New Roman"/>
          <w:b/>
          <w:sz w:val="26"/>
          <w:szCs w:val="26"/>
        </w:rPr>
        <w:t>Resultados</w:t>
      </w:r>
    </w:p>
    <w:p w:rsidR="00FD3AE3" w:rsidRPr="00FD3AE3" w:rsidRDefault="00FD3AE3" w:rsidP="00FD3AE3">
      <w:pPr>
        <w:spacing w:after="0" w:line="360" w:lineRule="auto"/>
        <w:jc w:val="center"/>
        <w:rPr>
          <w:rFonts w:ascii="Times New Roman" w:hAnsi="Times New Roman"/>
          <w:sz w:val="20"/>
          <w:szCs w:val="24"/>
        </w:rPr>
      </w:pPr>
    </w:p>
    <w:p w:rsidR="00FD3AE3" w:rsidRPr="00FD3AE3" w:rsidRDefault="00EF07E6" w:rsidP="00EB38BF">
      <w:pPr>
        <w:spacing w:after="0" w:line="276" w:lineRule="auto"/>
        <w:jc w:val="center"/>
        <w:rPr>
          <w:rFonts w:ascii="Times New Roman" w:hAnsi="Times New Roman"/>
          <w:sz w:val="20"/>
          <w:szCs w:val="24"/>
        </w:rPr>
      </w:pPr>
      <w:r w:rsidRPr="009D1D63">
        <w:rPr>
          <w:rFonts w:ascii="Arial" w:hAnsi="Arial" w:cs="Arial"/>
          <w:noProof/>
          <w:sz w:val="24"/>
          <w:szCs w:val="24"/>
          <w:lang w:eastAsia="es-EC"/>
        </w:rPr>
        <w:drawing>
          <wp:anchor distT="0" distB="0" distL="114300" distR="114300" simplePos="0" relativeHeight="251666944" behindDoc="0" locked="0" layoutInCell="1" allowOverlap="1" wp14:anchorId="6CAE2886" wp14:editId="705590F7">
            <wp:simplePos x="0" y="0"/>
            <wp:positionH relativeFrom="column">
              <wp:posOffset>1270635</wp:posOffset>
            </wp:positionH>
            <wp:positionV relativeFrom="paragraph">
              <wp:posOffset>398145</wp:posOffset>
            </wp:positionV>
            <wp:extent cx="4191000" cy="2366010"/>
            <wp:effectExtent l="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0" cy="2366010"/>
                    </a:xfrm>
                    <a:prstGeom prst="rect">
                      <a:avLst/>
                    </a:prstGeom>
                    <a:noFill/>
                  </pic:spPr>
                </pic:pic>
              </a:graphicData>
            </a:graphic>
            <wp14:sizeRelH relativeFrom="margin">
              <wp14:pctWidth>0</wp14:pctWidth>
            </wp14:sizeRelH>
            <wp14:sizeRelV relativeFrom="margin">
              <wp14:pctHeight>0</wp14:pctHeight>
            </wp14:sizeRelV>
          </wp:anchor>
        </w:drawing>
      </w:r>
      <w:r w:rsidR="00FD3AE3" w:rsidRPr="00FD3AE3">
        <w:rPr>
          <w:rFonts w:ascii="Times New Roman" w:hAnsi="Times New Roman"/>
          <w:b/>
          <w:sz w:val="20"/>
          <w:szCs w:val="24"/>
        </w:rPr>
        <w:t>Figura 1</w:t>
      </w:r>
      <w:r w:rsidR="00FD3AE3">
        <w:rPr>
          <w:rFonts w:ascii="Times New Roman" w:hAnsi="Times New Roman"/>
          <w:b/>
          <w:sz w:val="20"/>
          <w:szCs w:val="24"/>
        </w:rPr>
        <w:t>:</w:t>
      </w:r>
      <w:r w:rsidR="00FD3AE3" w:rsidRPr="00FD3AE3">
        <w:rPr>
          <w:rFonts w:ascii="Times New Roman" w:hAnsi="Times New Roman"/>
          <w:sz w:val="20"/>
          <w:szCs w:val="24"/>
        </w:rPr>
        <w:t xml:space="preserve"> Sistema de maceración fermentativa, muestra los  11 tratamientos del DCCR  con combinaciones de azucares y nutriente  enológico V ACTIV</w:t>
      </w:r>
    </w:p>
    <w:p w:rsidR="00FD3AE3" w:rsidRPr="00FD3AE3" w:rsidRDefault="00FD3AE3" w:rsidP="00FD3AE3">
      <w:pPr>
        <w:spacing w:after="0" w:line="360" w:lineRule="auto"/>
        <w:jc w:val="both"/>
        <w:rPr>
          <w:rFonts w:ascii="Times New Roman" w:hAnsi="Times New Roman"/>
          <w:sz w:val="24"/>
          <w:szCs w:val="24"/>
        </w:rPr>
      </w:pPr>
    </w:p>
    <w:p w:rsidR="00FD3AE3" w:rsidRPr="00FD3AE3" w:rsidRDefault="00FD3AE3" w:rsidP="00EB38BF">
      <w:pPr>
        <w:spacing w:after="0" w:line="276" w:lineRule="auto"/>
        <w:jc w:val="center"/>
        <w:rPr>
          <w:rFonts w:ascii="Times New Roman" w:hAnsi="Times New Roman"/>
          <w:sz w:val="20"/>
          <w:szCs w:val="20"/>
        </w:rPr>
      </w:pPr>
      <w:r w:rsidRPr="00FD3AE3">
        <w:rPr>
          <w:rFonts w:ascii="Times New Roman" w:hAnsi="Times New Roman"/>
          <w:b/>
          <w:sz w:val="20"/>
          <w:szCs w:val="20"/>
        </w:rPr>
        <w:t>Tabla 1:</w:t>
      </w:r>
      <w:r w:rsidRPr="00FD3AE3">
        <w:rPr>
          <w:rFonts w:ascii="Times New Roman" w:hAnsi="Times New Roman"/>
          <w:sz w:val="20"/>
          <w:szCs w:val="20"/>
        </w:rPr>
        <w:t xml:space="preserve">  Variación de pH, ºBrix para los Tratamientos 1, 2, 3, 4 del DCCR en la etapa de maceración fermentativa</w:t>
      </w:r>
    </w:p>
    <w:tbl>
      <w:tblPr>
        <w:tblStyle w:val="Tablaconcuadrcula"/>
        <w:tblW w:w="0" w:type="auto"/>
        <w:jc w:val="center"/>
        <w:tblLook w:val="04A0" w:firstRow="1" w:lastRow="0" w:firstColumn="1" w:lastColumn="0" w:noHBand="0" w:noVBand="1"/>
      </w:tblPr>
      <w:tblGrid>
        <w:gridCol w:w="1237"/>
        <w:gridCol w:w="1262"/>
        <w:gridCol w:w="978"/>
        <w:gridCol w:w="978"/>
        <w:gridCol w:w="978"/>
        <w:gridCol w:w="978"/>
        <w:gridCol w:w="978"/>
        <w:gridCol w:w="978"/>
        <w:gridCol w:w="978"/>
      </w:tblGrid>
      <w:tr w:rsidR="00FC3628" w:rsidRPr="00EB38BF" w:rsidTr="00EB38BF">
        <w:trPr>
          <w:jc w:val="center"/>
        </w:trPr>
        <w:tc>
          <w:tcPr>
            <w:tcW w:w="1237" w:type="dxa"/>
          </w:tcPr>
          <w:p w:rsidR="00FC3628" w:rsidRPr="00EB38BF" w:rsidRDefault="00FC3628" w:rsidP="00EB38BF">
            <w:pPr>
              <w:spacing w:after="0" w:line="276" w:lineRule="auto"/>
              <w:rPr>
                <w:rFonts w:ascii="Times New Roman" w:hAnsi="Times New Roman"/>
                <w:sz w:val="20"/>
                <w:szCs w:val="20"/>
              </w:rPr>
            </w:pPr>
            <w:r w:rsidRPr="00EB38BF">
              <w:rPr>
                <w:rFonts w:ascii="Times New Roman" w:hAnsi="Times New Roman"/>
                <w:sz w:val="20"/>
                <w:szCs w:val="20"/>
              </w:rPr>
              <w:t>Días/</w:t>
            </w:r>
          </w:p>
        </w:tc>
        <w:tc>
          <w:tcPr>
            <w:tcW w:w="2240" w:type="dxa"/>
            <w:gridSpan w:val="2"/>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Tratamiento 1</w:t>
            </w:r>
          </w:p>
        </w:tc>
        <w:tc>
          <w:tcPr>
            <w:tcW w:w="1956" w:type="dxa"/>
            <w:gridSpan w:val="2"/>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Tratamiento 2</w:t>
            </w:r>
          </w:p>
        </w:tc>
        <w:tc>
          <w:tcPr>
            <w:tcW w:w="1956" w:type="dxa"/>
            <w:gridSpan w:val="2"/>
          </w:tcPr>
          <w:p w:rsidR="00FC3628" w:rsidRPr="00EB38BF" w:rsidRDefault="00FC3628" w:rsidP="00EB38BF">
            <w:pPr>
              <w:spacing w:after="0" w:line="276" w:lineRule="auto"/>
              <w:rPr>
                <w:rFonts w:ascii="Times New Roman" w:hAnsi="Times New Roman"/>
                <w:b/>
                <w:sz w:val="20"/>
                <w:szCs w:val="20"/>
                <w:lang w:val="es-PE"/>
              </w:rPr>
            </w:pPr>
            <w:r w:rsidRPr="00EB38BF">
              <w:rPr>
                <w:rFonts w:ascii="Times New Roman" w:hAnsi="Times New Roman"/>
                <w:sz w:val="20"/>
                <w:szCs w:val="20"/>
              </w:rPr>
              <w:t>Tratamiento 3</w:t>
            </w:r>
          </w:p>
        </w:tc>
        <w:tc>
          <w:tcPr>
            <w:tcW w:w="1956" w:type="dxa"/>
            <w:gridSpan w:val="2"/>
          </w:tcPr>
          <w:p w:rsidR="00FC3628" w:rsidRPr="00EB38BF" w:rsidRDefault="00FC3628" w:rsidP="00EB38BF">
            <w:pPr>
              <w:spacing w:after="0" w:line="276" w:lineRule="auto"/>
              <w:rPr>
                <w:rFonts w:ascii="Times New Roman" w:hAnsi="Times New Roman"/>
                <w:b/>
                <w:sz w:val="20"/>
                <w:szCs w:val="20"/>
                <w:lang w:val="es-PE"/>
              </w:rPr>
            </w:pPr>
            <w:r w:rsidRPr="00EB38BF">
              <w:rPr>
                <w:rFonts w:ascii="Times New Roman" w:hAnsi="Times New Roman"/>
                <w:sz w:val="20"/>
                <w:szCs w:val="20"/>
              </w:rPr>
              <w:t>Tratamiento 4</w:t>
            </w:r>
          </w:p>
        </w:tc>
      </w:tr>
      <w:tr w:rsidR="00FC3628" w:rsidRPr="00EB38BF" w:rsidTr="00EB38BF">
        <w:trPr>
          <w:jc w:val="center"/>
        </w:trPr>
        <w:tc>
          <w:tcPr>
            <w:tcW w:w="1237"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b/>
                <w:sz w:val="20"/>
                <w:szCs w:val="20"/>
                <w:lang w:val="es-PE"/>
              </w:rPr>
              <w:t>Aná,</w:t>
            </w:r>
          </w:p>
        </w:tc>
        <w:tc>
          <w:tcPr>
            <w:tcW w:w="1262"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b/>
                <w:sz w:val="20"/>
                <w:szCs w:val="20"/>
                <w:lang w:val="es-PE"/>
              </w:rPr>
              <w:t>ºBrix</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pH</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b/>
                <w:sz w:val="20"/>
                <w:szCs w:val="20"/>
                <w:lang w:val="es-PE"/>
              </w:rPr>
              <w:t>ºBrix</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pH</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b/>
                <w:sz w:val="20"/>
                <w:szCs w:val="20"/>
                <w:lang w:val="es-PE"/>
              </w:rPr>
              <w:t>ºBrix</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pH</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b/>
                <w:sz w:val="20"/>
                <w:szCs w:val="20"/>
                <w:lang w:val="es-PE"/>
              </w:rPr>
              <w:t>ºBrix</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pH</w:t>
            </w:r>
          </w:p>
        </w:tc>
      </w:tr>
      <w:tr w:rsidR="00FC3628" w:rsidRPr="00EB38BF" w:rsidTr="00EB38BF">
        <w:trPr>
          <w:jc w:val="center"/>
        </w:trPr>
        <w:tc>
          <w:tcPr>
            <w:tcW w:w="1237" w:type="dxa"/>
          </w:tcPr>
          <w:p w:rsidR="00FC3628" w:rsidRPr="00EB38BF" w:rsidRDefault="00FC3628"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0</w:t>
            </w:r>
          </w:p>
        </w:tc>
        <w:tc>
          <w:tcPr>
            <w:tcW w:w="1262" w:type="dxa"/>
          </w:tcPr>
          <w:p w:rsidR="00FC3628" w:rsidRPr="00EB38BF" w:rsidRDefault="00FC3628" w:rsidP="00EB38BF">
            <w:pPr>
              <w:spacing w:after="0" w:line="276" w:lineRule="auto"/>
              <w:jc w:val="both"/>
              <w:rPr>
                <w:rFonts w:ascii="Times New Roman" w:hAnsi="Times New Roman"/>
                <w:sz w:val="20"/>
                <w:szCs w:val="20"/>
                <w:lang w:val="es-PE"/>
              </w:rPr>
            </w:pPr>
            <w:r w:rsidRPr="00EB38BF">
              <w:rPr>
                <w:rFonts w:ascii="Times New Roman" w:hAnsi="Times New Roman"/>
                <w:sz w:val="20"/>
                <w:szCs w:val="20"/>
                <w:lang w:val="es-PE"/>
              </w:rPr>
              <w:t>19.5</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4.4</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26.5</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4.5</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19.5</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4.8</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26.5</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4.8</w:t>
            </w:r>
          </w:p>
        </w:tc>
      </w:tr>
      <w:tr w:rsidR="00FC3628" w:rsidRPr="00EB38BF" w:rsidTr="00EB38BF">
        <w:trPr>
          <w:jc w:val="center"/>
        </w:trPr>
        <w:tc>
          <w:tcPr>
            <w:tcW w:w="1237" w:type="dxa"/>
          </w:tcPr>
          <w:p w:rsidR="00FC3628" w:rsidRPr="00EB38BF" w:rsidRDefault="00FC3628"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2</w:t>
            </w:r>
          </w:p>
        </w:tc>
        <w:tc>
          <w:tcPr>
            <w:tcW w:w="1262" w:type="dxa"/>
          </w:tcPr>
          <w:p w:rsidR="00FC3628" w:rsidRPr="00EB38BF" w:rsidRDefault="00FC3628" w:rsidP="00EB38BF">
            <w:pPr>
              <w:spacing w:after="0" w:line="276" w:lineRule="auto"/>
              <w:jc w:val="both"/>
              <w:rPr>
                <w:rFonts w:ascii="Times New Roman" w:hAnsi="Times New Roman"/>
                <w:sz w:val="20"/>
                <w:szCs w:val="20"/>
                <w:lang w:val="es-PE"/>
              </w:rPr>
            </w:pPr>
            <w:r w:rsidRPr="00EB38BF">
              <w:rPr>
                <w:rFonts w:ascii="Times New Roman" w:hAnsi="Times New Roman"/>
                <w:sz w:val="20"/>
                <w:szCs w:val="20"/>
                <w:lang w:val="es-PE"/>
              </w:rPr>
              <w:t>16.7</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4.4</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20</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4.5</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17</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4.8</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22</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4.7</w:t>
            </w:r>
          </w:p>
        </w:tc>
      </w:tr>
      <w:tr w:rsidR="00FC3628" w:rsidRPr="00EB38BF" w:rsidTr="00EB38BF">
        <w:trPr>
          <w:jc w:val="center"/>
        </w:trPr>
        <w:tc>
          <w:tcPr>
            <w:tcW w:w="1237" w:type="dxa"/>
          </w:tcPr>
          <w:p w:rsidR="00FC3628" w:rsidRPr="00EB38BF" w:rsidRDefault="00FC3628"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4</w:t>
            </w:r>
          </w:p>
        </w:tc>
        <w:tc>
          <w:tcPr>
            <w:tcW w:w="1262" w:type="dxa"/>
          </w:tcPr>
          <w:p w:rsidR="00FC3628" w:rsidRPr="00EB38BF" w:rsidRDefault="00FC3628" w:rsidP="00EB38BF">
            <w:pPr>
              <w:spacing w:after="0" w:line="276" w:lineRule="auto"/>
              <w:jc w:val="both"/>
              <w:rPr>
                <w:rFonts w:ascii="Times New Roman" w:hAnsi="Times New Roman"/>
                <w:sz w:val="20"/>
                <w:szCs w:val="20"/>
                <w:lang w:val="es-PE"/>
              </w:rPr>
            </w:pPr>
            <w:r w:rsidRPr="00EB38BF">
              <w:rPr>
                <w:rFonts w:ascii="Times New Roman" w:hAnsi="Times New Roman"/>
                <w:sz w:val="20"/>
                <w:szCs w:val="20"/>
                <w:lang w:val="es-PE"/>
              </w:rPr>
              <w:t>8</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4</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16.5</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4.1</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8.5</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4.5</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11</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4.3</w:t>
            </w:r>
          </w:p>
        </w:tc>
      </w:tr>
      <w:tr w:rsidR="00FC3628" w:rsidRPr="00EB38BF" w:rsidTr="00EB38BF">
        <w:trPr>
          <w:jc w:val="center"/>
        </w:trPr>
        <w:tc>
          <w:tcPr>
            <w:tcW w:w="1237" w:type="dxa"/>
          </w:tcPr>
          <w:p w:rsidR="00FC3628" w:rsidRPr="00EB38BF" w:rsidRDefault="00FC3628"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6</w:t>
            </w:r>
          </w:p>
        </w:tc>
        <w:tc>
          <w:tcPr>
            <w:tcW w:w="1262" w:type="dxa"/>
          </w:tcPr>
          <w:p w:rsidR="00FC3628" w:rsidRPr="00EB38BF" w:rsidRDefault="00FC3628" w:rsidP="00EB38BF">
            <w:pPr>
              <w:spacing w:after="0" w:line="276" w:lineRule="auto"/>
              <w:jc w:val="both"/>
              <w:rPr>
                <w:rFonts w:ascii="Times New Roman" w:hAnsi="Times New Roman"/>
                <w:sz w:val="20"/>
                <w:szCs w:val="20"/>
                <w:lang w:val="es-PE"/>
              </w:rPr>
            </w:pPr>
            <w:r w:rsidRPr="00EB38BF">
              <w:rPr>
                <w:rFonts w:ascii="Times New Roman" w:hAnsi="Times New Roman"/>
                <w:sz w:val="20"/>
                <w:szCs w:val="20"/>
                <w:lang w:val="es-PE"/>
              </w:rPr>
              <w:t>0</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3.68</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6</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3.7</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0</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3.66</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6.5</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3.64</w:t>
            </w:r>
          </w:p>
        </w:tc>
      </w:tr>
      <w:tr w:rsidR="00FC3628" w:rsidRPr="00EB38BF" w:rsidTr="00EB38BF">
        <w:trPr>
          <w:jc w:val="center"/>
        </w:trPr>
        <w:tc>
          <w:tcPr>
            <w:tcW w:w="1237" w:type="dxa"/>
          </w:tcPr>
          <w:p w:rsidR="00FC3628" w:rsidRPr="00EB38BF" w:rsidRDefault="00FC3628"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8</w:t>
            </w:r>
          </w:p>
        </w:tc>
        <w:tc>
          <w:tcPr>
            <w:tcW w:w="1262" w:type="dxa"/>
          </w:tcPr>
          <w:p w:rsidR="00FC3628" w:rsidRPr="00EB38BF" w:rsidRDefault="00FC3628" w:rsidP="00EB38BF">
            <w:pPr>
              <w:spacing w:after="0" w:line="276" w:lineRule="auto"/>
              <w:jc w:val="both"/>
              <w:rPr>
                <w:rFonts w:ascii="Times New Roman" w:hAnsi="Times New Roman"/>
                <w:sz w:val="20"/>
                <w:szCs w:val="20"/>
                <w:lang w:val="es-PE"/>
              </w:rPr>
            </w:pPr>
          </w:p>
        </w:tc>
        <w:tc>
          <w:tcPr>
            <w:tcW w:w="978" w:type="dxa"/>
          </w:tcPr>
          <w:p w:rsidR="00FC3628" w:rsidRPr="00EB38BF" w:rsidRDefault="00FC3628" w:rsidP="00EB38BF">
            <w:pPr>
              <w:spacing w:after="0" w:line="276" w:lineRule="auto"/>
              <w:jc w:val="both"/>
              <w:rPr>
                <w:rFonts w:ascii="Times New Roman" w:hAnsi="Times New Roman"/>
                <w:sz w:val="20"/>
                <w:szCs w:val="20"/>
              </w:rPr>
            </w:pP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0</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3.65</w:t>
            </w:r>
          </w:p>
        </w:tc>
        <w:tc>
          <w:tcPr>
            <w:tcW w:w="978" w:type="dxa"/>
          </w:tcPr>
          <w:p w:rsidR="00FC3628" w:rsidRPr="00EB38BF" w:rsidRDefault="00FC3628" w:rsidP="00EB38BF">
            <w:pPr>
              <w:spacing w:after="0" w:line="276" w:lineRule="auto"/>
              <w:jc w:val="both"/>
              <w:rPr>
                <w:rFonts w:ascii="Times New Roman" w:hAnsi="Times New Roman"/>
                <w:sz w:val="20"/>
                <w:szCs w:val="20"/>
              </w:rPr>
            </w:pPr>
          </w:p>
        </w:tc>
        <w:tc>
          <w:tcPr>
            <w:tcW w:w="978" w:type="dxa"/>
          </w:tcPr>
          <w:p w:rsidR="00FC3628" w:rsidRPr="00EB38BF" w:rsidRDefault="00FC3628" w:rsidP="00EB38BF">
            <w:pPr>
              <w:spacing w:after="0" w:line="276" w:lineRule="auto"/>
              <w:jc w:val="both"/>
              <w:rPr>
                <w:rFonts w:ascii="Times New Roman" w:hAnsi="Times New Roman"/>
                <w:sz w:val="20"/>
                <w:szCs w:val="20"/>
              </w:rPr>
            </w:pPr>
          </w:p>
        </w:tc>
        <w:tc>
          <w:tcPr>
            <w:tcW w:w="978" w:type="dxa"/>
          </w:tcPr>
          <w:p w:rsidR="00FC3628" w:rsidRPr="00EB38BF" w:rsidRDefault="00FC3628" w:rsidP="00EB38BF">
            <w:pPr>
              <w:spacing w:after="0" w:line="276" w:lineRule="auto"/>
              <w:jc w:val="both"/>
              <w:rPr>
                <w:rFonts w:ascii="Times New Roman" w:hAnsi="Times New Roman"/>
                <w:sz w:val="20"/>
                <w:szCs w:val="20"/>
              </w:rPr>
            </w:pPr>
          </w:p>
        </w:tc>
        <w:tc>
          <w:tcPr>
            <w:tcW w:w="978" w:type="dxa"/>
          </w:tcPr>
          <w:p w:rsidR="00FC3628" w:rsidRPr="00EB38BF" w:rsidRDefault="00FC3628" w:rsidP="00EB38BF">
            <w:pPr>
              <w:spacing w:after="0" w:line="276" w:lineRule="auto"/>
              <w:jc w:val="both"/>
              <w:rPr>
                <w:rFonts w:ascii="Times New Roman" w:hAnsi="Times New Roman"/>
                <w:sz w:val="20"/>
                <w:szCs w:val="20"/>
              </w:rPr>
            </w:pPr>
          </w:p>
        </w:tc>
      </w:tr>
      <w:tr w:rsidR="00FC3628" w:rsidRPr="00EB38BF" w:rsidTr="00EB38BF">
        <w:trPr>
          <w:jc w:val="center"/>
        </w:trPr>
        <w:tc>
          <w:tcPr>
            <w:tcW w:w="1237" w:type="dxa"/>
          </w:tcPr>
          <w:p w:rsidR="00FC3628" w:rsidRPr="00EB38BF" w:rsidRDefault="00FC3628"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9</w:t>
            </w:r>
          </w:p>
        </w:tc>
        <w:tc>
          <w:tcPr>
            <w:tcW w:w="1262" w:type="dxa"/>
          </w:tcPr>
          <w:p w:rsidR="00FC3628" w:rsidRPr="00EB38BF" w:rsidRDefault="00FC3628" w:rsidP="00EB38BF">
            <w:pPr>
              <w:spacing w:after="0" w:line="276" w:lineRule="auto"/>
              <w:jc w:val="both"/>
              <w:rPr>
                <w:rFonts w:ascii="Times New Roman" w:hAnsi="Times New Roman"/>
                <w:b/>
                <w:sz w:val="20"/>
                <w:szCs w:val="20"/>
                <w:lang w:val="es-PE"/>
              </w:rPr>
            </w:pPr>
          </w:p>
        </w:tc>
        <w:tc>
          <w:tcPr>
            <w:tcW w:w="978" w:type="dxa"/>
          </w:tcPr>
          <w:p w:rsidR="00FC3628" w:rsidRPr="00EB38BF" w:rsidRDefault="00FC3628" w:rsidP="00EB38BF">
            <w:pPr>
              <w:spacing w:after="0" w:line="276" w:lineRule="auto"/>
              <w:jc w:val="both"/>
              <w:rPr>
                <w:rFonts w:ascii="Times New Roman" w:hAnsi="Times New Roman"/>
                <w:sz w:val="20"/>
                <w:szCs w:val="20"/>
              </w:rPr>
            </w:pPr>
          </w:p>
        </w:tc>
        <w:tc>
          <w:tcPr>
            <w:tcW w:w="978" w:type="dxa"/>
          </w:tcPr>
          <w:p w:rsidR="00FC3628" w:rsidRPr="00EB38BF" w:rsidRDefault="00FC3628" w:rsidP="00EB38BF">
            <w:pPr>
              <w:spacing w:after="0" w:line="276" w:lineRule="auto"/>
              <w:jc w:val="both"/>
              <w:rPr>
                <w:rFonts w:ascii="Times New Roman" w:hAnsi="Times New Roman"/>
                <w:sz w:val="20"/>
                <w:szCs w:val="20"/>
              </w:rPr>
            </w:pPr>
          </w:p>
        </w:tc>
        <w:tc>
          <w:tcPr>
            <w:tcW w:w="978" w:type="dxa"/>
          </w:tcPr>
          <w:p w:rsidR="00FC3628" w:rsidRPr="00EB38BF" w:rsidRDefault="00FC3628" w:rsidP="00EB38BF">
            <w:pPr>
              <w:spacing w:after="0" w:line="276" w:lineRule="auto"/>
              <w:jc w:val="both"/>
              <w:rPr>
                <w:rFonts w:ascii="Times New Roman" w:hAnsi="Times New Roman"/>
                <w:sz w:val="20"/>
                <w:szCs w:val="20"/>
              </w:rPr>
            </w:pPr>
          </w:p>
        </w:tc>
        <w:tc>
          <w:tcPr>
            <w:tcW w:w="978" w:type="dxa"/>
          </w:tcPr>
          <w:p w:rsidR="00FC3628" w:rsidRPr="00EB38BF" w:rsidRDefault="00FC3628" w:rsidP="00EB38BF">
            <w:pPr>
              <w:spacing w:after="0" w:line="276" w:lineRule="auto"/>
              <w:jc w:val="both"/>
              <w:rPr>
                <w:rFonts w:ascii="Times New Roman" w:hAnsi="Times New Roman"/>
                <w:sz w:val="20"/>
                <w:szCs w:val="20"/>
              </w:rPr>
            </w:pPr>
          </w:p>
        </w:tc>
        <w:tc>
          <w:tcPr>
            <w:tcW w:w="978" w:type="dxa"/>
          </w:tcPr>
          <w:p w:rsidR="00FC3628" w:rsidRPr="00EB38BF" w:rsidRDefault="00FC3628" w:rsidP="00EB38BF">
            <w:pPr>
              <w:spacing w:after="0" w:line="276" w:lineRule="auto"/>
              <w:jc w:val="both"/>
              <w:rPr>
                <w:rFonts w:ascii="Times New Roman" w:hAnsi="Times New Roman"/>
                <w:sz w:val="20"/>
                <w:szCs w:val="20"/>
              </w:rPr>
            </w:pP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0</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3.5</w:t>
            </w:r>
          </w:p>
        </w:tc>
      </w:tr>
    </w:tbl>
    <w:p w:rsidR="00FD3AE3" w:rsidRPr="00FD3AE3" w:rsidRDefault="00FD3AE3" w:rsidP="00FD3AE3">
      <w:pPr>
        <w:spacing w:after="0" w:line="360" w:lineRule="auto"/>
        <w:jc w:val="both"/>
        <w:rPr>
          <w:rFonts w:ascii="Times New Roman" w:hAnsi="Times New Roman"/>
          <w:sz w:val="24"/>
          <w:szCs w:val="24"/>
        </w:rPr>
      </w:pPr>
      <w:r w:rsidRPr="00FD3AE3">
        <w:rPr>
          <w:rFonts w:ascii="Times New Roman" w:hAnsi="Times New Roman"/>
          <w:sz w:val="24"/>
          <w:szCs w:val="24"/>
        </w:rPr>
        <w:t xml:space="preserve">                                  </w:t>
      </w:r>
    </w:p>
    <w:p w:rsidR="00FD3AE3" w:rsidRPr="00FC3628" w:rsidRDefault="00FC3628" w:rsidP="00EB38BF">
      <w:pPr>
        <w:spacing w:after="0" w:line="276" w:lineRule="auto"/>
        <w:jc w:val="center"/>
        <w:rPr>
          <w:rFonts w:ascii="Times New Roman" w:hAnsi="Times New Roman"/>
          <w:sz w:val="20"/>
          <w:szCs w:val="24"/>
        </w:rPr>
      </w:pPr>
      <w:r w:rsidRPr="00FC3628">
        <w:rPr>
          <w:rFonts w:ascii="Times New Roman" w:hAnsi="Times New Roman"/>
          <w:b/>
          <w:sz w:val="20"/>
          <w:szCs w:val="24"/>
        </w:rPr>
        <w:t>Tabla 2:</w:t>
      </w:r>
      <w:r w:rsidR="00FD3AE3" w:rsidRPr="00FC3628">
        <w:rPr>
          <w:rFonts w:ascii="Times New Roman" w:hAnsi="Times New Roman"/>
          <w:sz w:val="20"/>
          <w:szCs w:val="24"/>
        </w:rPr>
        <w:t xml:space="preserve">  Variación  de pH y ºBrix para los tratamientos 5, 6, 7,8  del DCCR  en la etapa de maceración fermentativa</w:t>
      </w:r>
    </w:p>
    <w:tbl>
      <w:tblPr>
        <w:tblStyle w:val="Tablaconcuadrcula"/>
        <w:tblW w:w="0" w:type="auto"/>
        <w:jc w:val="center"/>
        <w:tblLook w:val="04A0" w:firstRow="1" w:lastRow="0" w:firstColumn="1" w:lastColumn="0" w:noHBand="0" w:noVBand="1"/>
      </w:tblPr>
      <w:tblGrid>
        <w:gridCol w:w="1237"/>
        <w:gridCol w:w="1262"/>
        <w:gridCol w:w="978"/>
        <w:gridCol w:w="978"/>
        <w:gridCol w:w="978"/>
        <w:gridCol w:w="978"/>
        <w:gridCol w:w="978"/>
        <w:gridCol w:w="978"/>
        <w:gridCol w:w="978"/>
      </w:tblGrid>
      <w:tr w:rsidR="00FC3628" w:rsidRPr="00EB38BF" w:rsidTr="00EB38BF">
        <w:trPr>
          <w:jc w:val="center"/>
        </w:trPr>
        <w:tc>
          <w:tcPr>
            <w:tcW w:w="1237" w:type="dxa"/>
          </w:tcPr>
          <w:p w:rsidR="00FC3628" w:rsidRPr="00EB38BF" w:rsidRDefault="00FC3628" w:rsidP="00EB38BF">
            <w:pPr>
              <w:spacing w:after="0" w:line="276" w:lineRule="auto"/>
              <w:rPr>
                <w:rFonts w:ascii="Times New Roman" w:hAnsi="Times New Roman"/>
                <w:sz w:val="20"/>
                <w:szCs w:val="20"/>
              </w:rPr>
            </w:pPr>
            <w:r w:rsidRPr="00EB38BF">
              <w:rPr>
                <w:rFonts w:ascii="Times New Roman" w:hAnsi="Times New Roman"/>
                <w:sz w:val="20"/>
                <w:szCs w:val="20"/>
              </w:rPr>
              <w:t>Días/</w:t>
            </w:r>
          </w:p>
        </w:tc>
        <w:tc>
          <w:tcPr>
            <w:tcW w:w="2240" w:type="dxa"/>
            <w:gridSpan w:val="2"/>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Tratamiento 5</w:t>
            </w:r>
          </w:p>
        </w:tc>
        <w:tc>
          <w:tcPr>
            <w:tcW w:w="1956" w:type="dxa"/>
            <w:gridSpan w:val="2"/>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Tratamiento 6</w:t>
            </w:r>
          </w:p>
        </w:tc>
        <w:tc>
          <w:tcPr>
            <w:tcW w:w="1956" w:type="dxa"/>
            <w:gridSpan w:val="2"/>
          </w:tcPr>
          <w:p w:rsidR="00FC3628" w:rsidRPr="00EB38BF" w:rsidRDefault="00FC3628" w:rsidP="00EB38BF">
            <w:pPr>
              <w:spacing w:after="0" w:line="276" w:lineRule="auto"/>
              <w:rPr>
                <w:rFonts w:ascii="Times New Roman" w:hAnsi="Times New Roman"/>
                <w:b/>
                <w:sz w:val="20"/>
                <w:szCs w:val="20"/>
                <w:lang w:val="es-PE"/>
              </w:rPr>
            </w:pPr>
            <w:r w:rsidRPr="00EB38BF">
              <w:rPr>
                <w:rFonts w:ascii="Times New Roman" w:hAnsi="Times New Roman"/>
                <w:sz w:val="20"/>
                <w:szCs w:val="20"/>
              </w:rPr>
              <w:t>Tratamiento 7</w:t>
            </w:r>
          </w:p>
        </w:tc>
        <w:tc>
          <w:tcPr>
            <w:tcW w:w="1956" w:type="dxa"/>
            <w:gridSpan w:val="2"/>
          </w:tcPr>
          <w:p w:rsidR="00FC3628" w:rsidRPr="00EB38BF" w:rsidRDefault="00FC3628" w:rsidP="00EB38BF">
            <w:pPr>
              <w:spacing w:after="0" w:line="276" w:lineRule="auto"/>
              <w:rPr>
                <w:rFonts w:ascii="Times New Roman" w:hAnsi="Times New Roman"/>
                <w:b/>
                <w:sz w:val="20"/>
                <w:szCs w:val="20"/>
                <w:lang w:val="es-PE"/>
              </w:rPr>
            </w:pPr>
            <w:r w:rsidRPr="00EB38BF">
              <w:rPr>
                <w:rFonts w:ascii="Times New Roman" w:hAnsi="Times New Roman"/>
                <w:sz w:val="20"/>
                <w:szCs w:val="20"/>
              </w:rPr>
              <w:t>Tratamiento 8</w:t>
            </w:r>
          </w:p>
        </w:tc>
      </w:tr>
      <w:tr w:rsidR="00FC3628" w:rsidRPr="00EB38BF" w:rsidTr="00EB38BF">
        <w:trPr>
          <w:jc w:val="center"/>
        </w:trPr>
        <w:tc>
          <w:tcPr>
            <w:tcW w:w="1237"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b/>
                <w:sz w:val="20"/>
                <w:szCs w:val="20"/>
                <w:lang w:val="es-PE"/>
              </w:rPr>
              <w:t>Aná,</w:t>
            </w:r>
          </w:p>
        </w:tc>
        <w:tc>
          <w:tcPr>
            <w:tcW w:w="1262"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b/>
                <w:sz w:val="20"/>
                <w:szCs w:val="20"/>
                <w:lang w:val="es-PE"/>
              </w:rPr>
              <w:t>ºBrix</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pH</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b/>
                <w:sz w:val="20"/>
                <w:szCs w:val="20"/>
                <w:lang w:val="es-PE"/>
              </w:rPr>
              <w:t>ºBrix</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pH</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b/>
                <w:sz w:val="20"/>
                <w:szCs w:val="20"/>
                <w:lang w:val="es-PE"/>
              </w:rPr>
              <w:t>ºBrix</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pH</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b/>
                <w:sz w:val="20"/>
                <w:szCs w:val="20"/>
                <w:lang w:val="es-PE"/>
              </w:rPr>
              <w:t>ºBrix</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pH</w:t>
            </w:r>
          </w:p>
        </w:tc>
      </w:tr>
      <w:tr w:rsidR="00FC3628" w:rsidRPr="00EB38BF" w:rsidTr="00EB38BF">
        <w:trPr>
          <w:jc w:val="center"/>
        </w:trPr>
        <w:tc>
          <w:tcPr>
            <w:tcW w:w="1237" w:type="dxa"/>
          </w:tcPr>
          <w:p w:rsidR="00FC3628" w:rsidRPr="00EB38BF" w:rsidRDefault="00FC3628"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0</w:t>
            </w:r>
          </w:p>
        </w:tc>
        <w:tc>
          <w:tcPr>
            <w:tcW w:w="1262" w:type="dxa"/>
          </w:tcPr>
          <w:p w:rsidR="00FC3628" w:rsidRPr="00EB38BF" w:rsidRDefault="00FC3628"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18</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4.2</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28</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4</w:t>
            </w:r>
            <w:r w:rsidR="00EB38BF" w:rsidRPr="00EB38BF">
              <w:rPr>
                <w:rFonts w:ascii="Times New Roman" w:hAnsi="Times New Roman"/>
                <w:sz w:val="20"/>
                <w:szCs w:val="20"/>
              </w:rPr>
              <w:t>.6</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23</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4</w:t>
            </w:r>
            <w:r w:rsidR="00EB38BF" w:rsidRPr="00EB38BF">
              <w:rPr>
                <w:rFonts w:ascii="Times New Roman" w:hAnsi="Times New Roman"/>
                <w:sz w:val="20"/>
                <w:szCs w:val="20"/>
              </w:rPr>
              <w:t>.5</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23</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4.8</w:t>
            </w:r>
          </w:p>
        </w:tc>
      </w:tr>
      <w:tr w:rsidR="00FC3628" w:rsidRPr="00EB38BF" w:rsidTr="00EB38BF">
        <w:trPr>
          <w:jc w:val="center"/>
        </w:trPr>
        <w:tc>
          <w:tcPr>
            <w:tcW w:w="1237" w:type="dxa"/>
          </w:tcPr>
          <w:p w:rsidR="00FC3628" w:rsidRPr="00EB38BF" w:rsidRDefault="00FC3628"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2</w:t>
            </w:r>
          </w:p>
        </w:tc>
        <w:tc>
          <w:tcPr>
            <w:tcW w:w="1262" w:type="dxa"/>
          </w:tcPr>
          <w:p w:rsidR="00FC3628" w:rsidRPr="00EB38BF" w:rsidRDefault="00FC3628"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16</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4.1</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24</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4.6</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20</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4.6</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20</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4.9</w:t>
            </w:r>
          </w:p>
        </w:tc>
      </w:tr>
      <w:tr w:rsidR="00FC3628" w:rsidRPr="00EB38BF" w:rsidTr="00EB38BF">
        <w:trPr>
          <w:jc w:val="center"/>
        </w:trPr>
        <w:tc>
          <w:tcPr>
            <w:tcW w:w="1237" w:type="dxa"/>
          </w:tcPr>
          <w:p w:rsidR="00FC3628" w:rsidRPr="00EB38BF" w:rsidRDefault="00FC3628"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4</w:t>
            </w:r>
          </w:p>
        </w:tc>
        <w:tc>
          <w:tcPr>
            <w:tcW w:w="1262" w:type="dxa"/>
          </w:tcPr>
          <w:p w:rsidR="00FC3628" w:rsidRPr="00EB38BF" w:rsidRDefault="00FC3628"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9</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4.1</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14</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4</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11</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4</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12</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4.1</w:t>
            </w:r>
          </w:p>
        </w:tc>
      </w:tr>
      <w:tr w:rsidR="00FC3628" w:rsidRPr="00EB38BF" w:rsidTr="00EB38BF">
        <w:trPr>
          <w:jc w:val="center"/>
        </w:trPr>
        <w:tc>
          <w:tcPr>
            <w:tcW w:w="1237" w:type="dxa"/>
          </w:tcPr>
          <w:p w:rsidR="00FC3628" w:rsidRPr="00EB38BF" w:rsidRDefault="00FC3628"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6</w:t>
            </w:r>
          </w:p>
        </w:tc>
        <w:tc>
          <w:tcPr>
            <w:tcW w:w="1262" w:type="dxa"/>
          </w:tcPr>
          <w:p w:rsidR="00FC3628" w:rsidRPr="00EB38BF" w:rsidRDefault="00FC3628"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0</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3.67</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8.5</w:t>
            </w:r>
          </w:p>
        </w:tc>
        <w:tc>
          <w:tcPr>
            <w:tcW w:w="978" w:type="dxa"/>
          </w:tcPr>
          <w:p w:rsidR="00FC3628" w:rsidRPr="00EB38BF" w:rsidRDefault="00FC3628" w:rsidP="00EB38BF">
            <w:pPr>
              <w:spacing w:after="0" w:line="276" w:lineRule="auto"/>
              <w:jc w:val="both"/>
              <w:rPr>
                <w:rFonts w:ascii="Times New Roman" w:hAnsi="Times New Roman"/>
                <w:sz w:val="20"/>
                <w:szCs w:val="20"/>
              </w:rPr>
            </w:pPr>
            <w:r w:rsidRPr="00EB38BF">
              <w:rPr>
                <w:rFonts w:ascii="Times New Roman" w:hAnsi="Times New Roman"/>
                <w:sz w:val="20"/>
                <w:szCs w:val="20"/>
              </w:rPr>
              <w:t>3.7</w:t>
            </w:r>
            <w:r w:rsidR="00EB38BF" w:rsidRPr="00EB38BF">
              <w:rPr>
                <w:rFonts w:ascii="Times New Roman" w:hAnsi="Times New Roman"/>
                <w:sz w:val="20"/>
                <w:szCs w:val="20"/>
              </w:rPr>
              <w:t>1</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5</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3.68</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6</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3.66</w:t>
            </w:r>
          </w:p>
        </w:tc>
      </w:tr>
      <w:tr w:rsidR="00FC3628" w:rsidRPr="00EB38BF" w:rsidTr="00EB38BF">
        <w:trPr>
          <w:jc w:val="center"/>
        </w:trPr>
        <w:tc>
          <w:tcPr>
            <w:tcW w:w="1237" w:type="dxa"/>
          </w:tcPr>
          <w:p w:rsidR="00FC3628" w:rsidRPr="00EB38BF" w:rsidRDefault="00FC3628"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7</w:t>
            </w:r>
          </w:p>
        </w:tc>
        <w:tc>
          <w:tcPr>
            <w:tcW w:w="1262" w:type="dxa"/>
          </w:tcPr>
          <w:p w:rsidR="00FC3628" w:rsidRPr="00EB38BF" w:rsidRDefault="00FC3628" w:rsidP="00EB38BF">
            <w:pPr>
              <w:spacing w:after="0" w:line="276" w:lineRule="auto"/>
              <w:jc w:val="both"/>
              <w:rPr>
                <w:rFonts w:ascii="Times New Roman" w:hAnsi="Times New Roman"/>
                <w:b/>
                <w:sz w:val="20"/>
                <w:szCs w:val="20"/>
                <w:lang w:val="es-PE"/>
              </w:rPr>
            </w:pPr>
          </w:p>
        </w:tc>
        <w:tc>
          <w:tcPr>
            <w:tcW w:w="978" w:type="dxa"/>
          </w:tcPr>
          <w:p w:rsidR="00FC3628" w:rsidRPr="00EB38BF" w:rsidRDefault="00FC3628" w:rsidP="00EB38BF">
            <w:pPr>
              <w:spacing w:after="0" w:line="276" w:lineRule="auto"/>
              <w:jc w:val="both"/>
              <w:rPr>
                <w:rFonts w:ascii="Times New Roman" w:hAnsi="Times New Roman"/>
                <w:sz w:val="20"/>
                <w:szCs w:val="20"/>
              </w:rPr>
            </w:pPr>
          </w:p>
        </w:tc>
        <w:tc>
          <w:tcPr>
            <w:tcW w:w="978" w:type="dxa"/>
          </w:tcPr>
          <w:p w:rsidR="00FC3628" w:rsidRPr="00EB38BF" w:rsidRDefault="00FC3628" w:rsidP="00EB38BF">
            <w:pPr>
              <w:spacing w:after="0" w:line="276" w:lineRule="auto"/>
              <w:jc w:val="both"/>
              <w:rPr>
                <w:rFonts w:ascii="Times New Roman" w:hAnsi="Times New Roman"/>
                <w:sz w:val="20"/>
                <w:szCs w:val="20"/>
              </w:rPr>
            </w:pPr>
          </w:p>
        </w:tc>
        <w:tc>
          <w:tcPr>
            <w:tcW w:w="978" w:type="dxa"/>
          </w:tcPr>
          <w:p w:rsidR="00FC3628" w:rsidRPr="00EB38BF" w:rsidRDefault="00FC3628" w:rsidP="00EB38BF">
            <w:pPr>
              <w:spacing w:after="0" w:line="276" w:lineRule="auto"/>
              <w:jc w:val="both"/>
              <w:rPr>
                <w:rFonts w:ascii="Times New Roman" w:hAnsi="Times New Roman"/>
                <w:sz w:val="20"/>
                <w:szCs w:val="20"/>
              </w:rPr>
            </w:pP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3</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3.68</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4</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3.62</w:t>
            </w:r>
          </w:p>
        </w:tc>
      </w:tr>
      <w:tr w:rsidR="00FC3628" w:rsidRPr="00EB38BF" w:rsidTr="00EB38BF">
        <w:trPr>
          <w:jc w:val="center"/>
        </w:trPr>
        <w:tc>
          <w:tcPr>
            <w:tcW w:w="1237" w:type="dxa"/>
          </w:tcPr>
          <w:p w:rsidR="00FC3628" w:rsidRPr="00EB38BF" w:rsidRDefault="00FC3628"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8</w:t>
            </w:r>
          </w:p>
        </w:tc>
        <w:tc>
          <w:tcPr>
            <w:tcW w:w="1262" w:type="dxa"/>
          </w:tcPr>
          <w:p w:rsidR="00FC3628" w:rsidRPr="00EB38BF" w:rsidRDefault="00FC3628" w:rsidP="00EB38BF">
            <w:pPr>
              <w:spacing w:after="0" w:line="276" w:lineRule="auto"/>
              <w:jc w:val="both"/>
              <w:rPr>
                <w:rFonts w:ascii="Times New Roman" w:hAnsi="Times New Roman"/>
                <w:b/>
                <w:sz w:val="20"/>
                <w:szCs w:val="20"/>
                <w:lang w:val="es-PE"/>
              </w:rPr>
            </w:pPr>
          </w:p>
        </w:tc>
        <w:tc>
          <w:tcPr>
            <w:tcW w:w="978" w:type="dxa"/>
          </w:tcPr>
          <w:p w:rsidR="00FC3628" w:rsidRPr="00EB38BF" w:rsidRDefault="00FC3628" w:rsidP="00EB38BF">
            <w:pPr>
              <w:spacing w:after="0" w:line="276" w:lineRule="auto"/>
              <w:jc w:val="both"/>
              <w:rPr>
                <w:rFonts w:ascii="Times New Roman" w:hAnsi="Times New Roman"/>
                <w:sz w:val="20"/>
                <w:szCs w:val="20"/>
              </w:rPr>
            </w:pP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5</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3.63</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0</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3.68</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0</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3.62</w:t>
            </w:r>
          </w:p>
        </w:tc>
      </w:tr>
      <w:tr w:rsidR="00FC3628" w:rsidRPr="00EB38BF" w:rsidTr="00EB38BF">
        <w:trPr>
          <w:jc w:val="center"/>
        </w:trPr>
        <w:tc>
          <w:tcPr>
            <w:tcW w:w="1237" w:type="dxa"/>
          </w:tcPr>
          <w:p w:rsidR="00FC3628" w:rsidRPr="00EB38BF" w:rsidRDefault="00FC3628"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9</w:t>
            </w:r>
          </w:p>
        </w:tc>
        <w:tc>
          <w:tcPr>
            <w:tcW w:w="1262" w:type="dxa"/>
          </w:tcPr>
          <w:p w:rsidR="00FC3628" w:rsidRPr="00EB38BF" w:rsidRDefault="00FC3628" w:rsidP="00EB38BF">
            <w:pPr>
              <w:spacing w:after="0" w:line="276" w:lineRule="auto"/>
              <w:jc w:val="both"/>
              <w:rPr>
                <w:rFonts w:ascii="Times New Roman" w:hAnsi="Times New Roman"/>
                <w:b/>
                <w:sz w:val="20"/>
                <w:szCs w:val="20"/>
                <w:lang w:val="es-PE"/>
              </w:rPr>
            </w:pPr>
          </w:p>
        </w:tc>
        <w:tc>
          <w:tcPr>
            <w:tcW w:w="978" w:type="dxa"/>
          </w:tcPr>
          <w:p w:rsidR="00FC3628" w:rsidRPr="00EB38BF" w:rsidRDefault="00FC3628" w:rsidP="00EB38BF">
            <w:pPr>
              <w:spacing w:after="0" w:line="276" w:lineRule="auto"/>
              <w:jc w:val="both"/>
              <w:rPr>
                <w:rFonts w:ascii="Times New Roman" w:hAnsi="Times New Roman"/>
                <w:sz w:val="20"/>
                <w:szCs w:val="20"/>
              </w:rPr>
            </w:pP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3</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3.59</w:t>
            </w:r>
          </w:p>
        </w:tc>
        <w:tc>
          <w:tcPr>
            <w:tcW w:w="978" w:type="dxa"/>
          </w:tcPr>
          <w:p w:rsidR="00FC3628" w:rsidRPr="00EB38BF" w:rsidRDefault="00FC3628" w:rsidP="00EB38BF">
            <w:pPr>
              <w:spacing w:after="0" w:line="276" w:lineRule="auto"/>
              <w:jc w:val="both"/>
              <w:rPr>
                <w:rFonts w:ascii="Times New Roman" w:hAnsi="Times New Roman"/>
                <w:sz w:val="20"/>
                <w:szCs w:val="20"/>
              </w:rPr>
            </w:pPr>
          </w:p>
        </w:tc>
        <w:tc>
          <w:tcPr>
            <w:tcW w:w="978" w:type="dxa"/>
          </w:tcPr>
          <w:p w:rsidR="00FC3628" w:rsidRPr="00EB38BF" w:rsidRDefault="00FC3628" w:rsidP="00EB38BF">
            <w:pPr>
              <w:spacing w:after="0" w:line="276" w:lineRule="auto"/>
              <w:jc w:val="both"/>
              <w:rPr>
                <w:rFonts w:ascii="Times New Roman" w:hAnsi="Times New Roman"/>
                <w:sz w:val="20"/>
                <w:szCs w:val="20"/>
              </w:rPr>
            </w:pPr>
          </w:p>
        </w:tc>
        <w:tc>
          <w:tcPr>
            <w:tcW w:w="978" w:type="dxa"/>
          </w:tcPr>
          <w:p w:rsidR="00FC3628" w:rsidRPr="00EB38BF" w:rsidRDefault="00FC3628" w:rsidP="00EB38BF">
            <w:pPr>
              <w:spacing w:after="0" w:line="276" w:lineRule="auto"/>
              <w:jc w:val="both"/>
              <w:rPr>
                <w:rFonts w:ascii="Times New Roman" w:hAnsi="Times New Roman"/>
                <w:sz w:val="20"/>
                <w:szCs w:val="20"/>
              </w:rPr>
            </w:pPr>
          </w:p>
        </w:tc>
        <w:tc>
          <w:tcPr>
            <w:tcW w:w="978" w:type="dxa"/>
          </w:tcPr>
          <w:p w:rsidR="00FC3628" w:rsidRPr="00EB38BF" w:rsidRDefault="00FC3628" w:rsidP="00EB38BF">
            <w:pPr>
              <w:spacing w:after="0" w:line="276" w:lineRule="auto"/>
              <w:jc w:val="both"/>
              <w:rPr>
                <w:rFonts w:ascii="Times New Roman" w:hAnsi="Times New Roman"/>
                <w:sz w:val="20"/>
                <w:szCs w:val="20"/>
              </w:rPr>
            </w:pPr>
          </w:p>
        </w:tc>
      </w:tr>
      <w:tr w:rsidR="00FC3628" w:rsidRPr="00EB38BF" w:rsidTr="00EB38BF">
        <w:trPr>
          <w:jc w:val="center"/>
        </w:trPr>
        <w:tc>
          <w:tcPr>
            <w:tcW w:w="1237" w:type="dxa"/>
          </w:tcPr>
          <w:p w:rsidR="00FC3628" w:rsidRPr="00EB38BF" w:rsidRDefault="00FC3628"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10</w:t>
            </w:r>
          </w:p>
        </w:tc>
        <w:tc>
          <w:tcPr>
            <w:tcW w:w="1262" w:type="dxa"/>
          </w:tcPr>
          <w:p w:rsidR="00FC3628" w:rsidRPr="00EB38BF" w:rsidRDefault="00FC3628" w:rsidP="00EB38BF">
            <w:pPr>
              <w:spacing w:after="0" w:line="276" w:lineRule="auto"/>
              <w:jc w:val="both"/>
              <w:rPr>
                <w:rFonts w:ascii="Times New Roman" w:hAnsi="Times New Roman"/>
                <w:b/>
                <w:sz w:val="20"/>
                <w:szCs w:val="20"/>
                <w:lang w:val="es-PE"/>
              </w:rPr>
            </w:pPr>
          </w:p>
        </w:tc>
        <w:tc>
          <w:tcPr>
            <w:tcW w:w="978" w:type="dxa"/>
          </w:tcPr>
          <w:p w:rsidR="00FC3628" w:rsidRPr="00EB38BF" w:rsidRDefault="00FC3628" w:rsidP="00EB38BF">
            <w:pPr>
              <w:spacing w:after="0" w:line="276" w:lineRule="auto"/>
              <w:jc w:val="both"/>
              <w:rPr>
                <w:rFonts w:ascii="Times New Roman" w:hAnsi="Times New Roman"/>
                <w:sz w:val="20"/>
                <w:szCs w:val="20"/>
              </w:rPr>
            </w:pP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3</w:t>
            </w:r>
          </w:p>
        </w:tc>
        <w:tc>
          <w:tcPr>
            <w:tcW w:w="978" w:type="dxa"/>
          </w:tcPr>
          <w:p w:rsidR="00FC3628"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3.59</w:t>
            </w:r>
          </w:p>
        </w:tc>
        <w:tc>
          <w:tcPr>
            <w:tcW w:w="978" w:type="dxa"/>
          </w:tcPr>
          <w:p w:rsidR="00FC3628" w:rsidRPr="00EB38BF" w:rsidRDefault="00FC3628" w:rsidP="00EB38BF">
            <w:pPr>
              <w:spacing w:after="0" w:line="276" w:lineRule="auto"/>
              <w:jc w:val="both"/>
              <w:rPr>
                <w:rFonts w:ascii="Times New Roman" w:hAnsi="Times New Roman"/>
                <w:sz w:val="20"/>
                <w:szCs w:val="20"/>
              </w:rPr>
            </w:pPr>
          </w:p>
        </w:tc>
        <w:tc>
          <w:tcPr>
            <w:tcW w:w="978" w:type="dxa"/>
          </w:tcPr>
          <w:p w:rsidR="00FC3628" w:rsidRPr="00EB38BF" w:rsidRDefault="00FC3628" w:rsidP="00EB38BF">
            <w:pPr>
              <w:spacing w:after="0" w:line="276" w:lineRule="auto"/>
              <w:jc w:val="both"/>
              <w:rPr>
                <w:rFonts w:ascii="Times New Roman" w:hAnsi="Times New Roman"/>
                <w:sz w:val="20"/>
                <w:szCs w:val="20"/>
              </w:rPr>
            </w:pPr>
          </w:p>
        </w:tc>
        <w:tc>
          <w:tcPr>
            <w:tcW w:w="978" w:type="dxa"/>
          </w:tcPr>
          <w:p w:rsidR="00FC3628" w:rsidRPr="00EB38BF" w:rsidRDefault="00FC3628" w:rsidP="00EB38BF">
            <w:pPr>
              <w:spacing w:after="0" w:line="276" w:lineRule="auto"/>
              <w:jc w:val="both"/>
              <w:rPr>
                <w:rFonts w:ascii="Times New Roman" w:hAnsi="Times New Roman"/>
                <w:sz w:val="20"/>
                <w:szCs w:val="20"/>
              </w:rPr>
            </w:pPr>
          </w:p>
        </w:tc>
        <w:tc>
          <w:tcPr>
            <w:tcW w:w="978" w:type="dxa"/>
          </w:tcPr>
          <w:p w:rsidR="00FC3628" w:rsidRPr="00EB38BF" w:rsidRDefault="00FC3628" w:rsidP="00EB38BF">
            <w:pPr>
              <w:spacing w:after="0" w:line="276" w:lineRule="auto"/>
              <w:jc w:val="both"/>
              <w:rPr>
                <w:rFonts w:ascii="Times New Roman" w:hAnsi="Times New Roman"/>
                <w:sz w:val="20"/>
                <w:szCs w:val="20"/>
              </w:rPr>
            </w:pPr>
          </w:p>
        </w:tc>
      </w:tr>
    </w:tbl>
    <w:p w:rsidR="00FD3AE3" w:rsidRPr="00FD3AE3" w:rsidRDefault="00FD3AE3" w:rsidP="00FD3AE3">
      <w:pPr>
        <w:spacing w:after="0" w:line="360" w:lineRule="auto"/>
        <w:jc w:val="both"/>
        <w:rPr>
          <w:rFonts w:ascii="Times New Roman" w:hAnsi="Times New Roman"/>
          <w:sz w:val="24"/>
          <w:szCs w:val="24"/>
        </w:rPr>
      </w:pPr>
    </w:p>
    <w:p w:rsidR="00FD3AE3" w:rsidRPr="00FC3628" w:rsidRDefault="00FC3628" w:rsidP="00EB38BF">
      <w:pPr>
        <w:spacing w:after="0" w:line="276" w:lineRule="auto"/>
        <w:jc w:val="center"/>
        <w:rPr>
          <w:rFonts w:ascii="Times New Roman" w:hAnsi="Times New Roman"/>
          <w:sz w:val="20"/>
          <w:szCs w:val="24"/>
        </w:rPr>
      </w:pPr>
      <w:r w:rsidRPr="00FC3628">
        <w:rPr>
          <w:rFonts w:ascii="Times New Roman" w:hAnsi="Times New Roman"/>
          <w:b/>
          <w:sz w:val="20"/>
          <w:szCs w:val="24"/>
        </w:rPr>
        <w:t>Tabla 3:</w:t>
      </w:r>
      <w:r w:rsidR="00FD3AE3" w:rsidRPr="00FC3628">
        <w:rPr>
          <w:rFonts w:ascii="Times New Roman" w:hAnsi="Times New Roman"/>
          <w:sz w:val="20"/>
          <w:szCs w:val="24"/>
        </w:rPr>
        <w:t xml:space="preserve"> Variación del pH, ºBrix para los Tratamientos 9,10, 11 en la etapa de maceración fermentativa</w:t>
      </w:r>
    </w:p>
    <w:tbl>
      <w:tblPr>
        <w:tblStyle w:val="Tablaconcuadrcula"/>
        <w:tblW w:w="0" w:type="auto"/>
        <w:jc w:val="center"/>
        <w:tblLook w:val="04A0" w:firstRow="1" w:lastRow="0" w:firstColumn="1" w:lastColumn="0" w:noHBand="0" w:noVBand="1"/>
      </w:tblPr>
      <w:tblGrid>
        <w:gridCol w:w="1237"/>
        <w:gridCol w:w="1262"/>
        <w:gridCol w:w="978"/>
        <w:gridCol w:w="978"/>
        <w:gridCol w:w="978"/>
        <w:gridCol w:w="978"/>
        <w:gridCol w:w="978"/>
      </w:tblGrid>
      <w:tr w:rsidR="00EB38BF" w:rsidRPr="00EB38BF" w:rsidTr="00EB38BF">
        <w:trPr>
          <w:jc w:val="center"/>
        </w:trPr>
        <w:tc>
          <w:tcPr>
            <w:tcW w:w="1237" w:type="dxa"/>
          </w:tcPr>
          <w:p w:rsidR="00EB38BF" w:rsidRPr="00EB38BF" w:rsidRDefault="00EB38BF" w:rsidP="00EB38BF">
            <w:pPr>
              <w:spacing w:after="0" w:line="276" w:lineRule="auto"/>
              <w:rPr>
                <w:rFonts w:ascii="Times New Roman" w:hAnsi="Times New Roman"/>
                <w:sz w:val="20"/>
                <w:szCs w:val="20"/>
              </w:rPr>
            </w:pPr>
            <w:r w:rsidRPr="00EB38BF">
              <w:rPr>
                <w:rFonts w:ascii="Times New Roman" w:hAnsi="Times New Roman"/>
                <w:sz w:val="20"/>
                <w:szCs w:val="20"/>
              </w:rPr>
              <w:t>Días/</w:t>
            </w:r>
          </w:p>
        </w:tc>
        <w:tc>
          <w:tcPr>
            <w:tcW w:w="2240" w:type="dxa"/>
            <w:gridSpan w:val="2"/>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Tratamiento 9</w:t>
            </w:r>
          </w:p>
        </w:tc>
        <w:tc>
          <w:tcPr>
            <w:tcW w:w="1956" w:type="dxa"/>
            <w:gridSpan w:val="2"/>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Tratamiento 10</w:t>
            </w:r>
          </w:p>
        </w:tc>
        <w:tc>
          <w:tcPr>
            <w:tcW w:w="1956" w:type="dxa"/>
            <w:gridSpan w:val="2"/>
          </w:tcPr>
          <w:p w:rsidR="00EB38BF" w:rsidRPr="00EB38BF" w:rsidRDefault="00EB38BF" w:rsidP="00EB38BF">
            <w:pPr>
              <w:spacing w:after="0" w:line="276" w:lineRule="auto"/>
              <w:rPr>
                <w:rFonts w:ascii="Times New Roman" w:hAnsi="Times New Roman"/>
                <w:b/>
                <w:sz w:val="20"/>
                <w:szCs w:val="20"/>
                <w:lang w:val="es-PE"/>
              </w:rPr>
            </w:pPr>
            <w:r w:rsidRPr="00EB38BF">
              <w:rPr>
                <w:rFonts w:ascii="Times New Roman" w:hAnsi="Times New Roman"/>
                <w:sz w:val="20"/>
                <w:szCs w:val="20"/>
              </w:rPr>
              <w:t>Tratamiento 11</w:t>
            </w:r>
          </w:p>
        </w:tc>
      </w:tr>
      <w:tr w:rsidR="00EB38BF" w:rsidRPr="00EB38BF" w:rsidTr="00EB38BF">
        <w:trPr>
          <w:jc w:val="center"/>
        </w:trPr>
        <w:tc>
          <w:tcPr>
            <w:tcW w:w="1237"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b/>
                <w:sz w:val="20"/>
                <w:szCs w:val="20"/>
                <w:lang w:val="es-PE"/>
              </w:rPr>
              <w:t>Aná,</w:t>
            </w:r>
          </w:p>
        </w:tc>
        <w:tc>
          <w:tcPr>
            <w:tcW w:w="1262"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b/>
                <w:sz w:val="20"/>
                <w:szCs w:val="20"/>
                <w:lang w:val="es-PE"/>
              </w:rPr>
              <w:t>ºBrix</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pH</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b/>
                <w:sz w:val="20"/>
                <w:szCs w:val="20"/>
                <w:lang w:val="es-PE"/>
              </w:rPr>
              <w:t>ºBrix</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pH</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b/>
                <w:sz w:val="20"/>
                <w:szCs w:val="20"/>
                <w:lang w:val="es-PE"/>
              </w:rPr>
              <w:t>ºBrix</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pH</w:t>
            </w:r>
          </w:p>
        </w:tc>
      </w:tr>
      <w:tr w:rsidR="00EB38BF" w:rsidRPr="00EB38BF" w:rsidTr="00EB38BF">
        <w:trPr>
          <w:jc w:val="center"/>
        </w:trPr>
        <w:tc>
          <w:tcPr>
            <w:tcW w:w="1237" w:type="dxa"/>
          </w:tcPr>
          <w:p w:rsidR="00EB38BF" w:rsidRPr="00EB38BF" w:rsidRDefault="00EB38BF"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0</w:t>
            </w:r>
          </w:p>
        </w:tc>
        <w:tc>
          <w:tcPr>
            <w:tcW w:w="1262" w:type="dxa"/>
          </w:tcPr>
          <w:p w:rsidR="00EB38BF" w:rsidRPr="00EB38BF" w:rsidRDefault="00EB38BF"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23</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4.2</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23</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4.05</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23</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4.05</w:t>
            </w:r>
          </w:p>
        </w:tc>
      </w:tr>
      <w:tr w:rsidR="00EB38BF" w:rsidRPr="00EB38BF" w:rsidTr="00EB38BF">
        <w:trPr>
          <w:jc w:val="center"/>
        </w:trPr>
        <w:tc>
          <w:tcPr>
            <w:tcW w:w="1237" w:type="dxa"/>
          </w:tcPr>
          <w:p w:rsidR="00EB38BF" w:rsidRPr="00EB38BF" w:rsidRDefault="00EB38BF"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2</w:t>
            </w:r>
          </w:p>
        </w:tc>
        <w:tc>
          <w:tcPr>
            <w:tcW w:w="1262" w:type="dxa"/>
          </w:tcPr>
          <w:p w:rsidR="00EB38BF" w:rsidRPr="00EB38BF" w:rsidRDefault="00EB38BF"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20</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4.05</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20</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4.00</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20</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4.00</w:t>
            </w:r>
          </w:p>
        </w:tc>
      </w:tr>
      <w:tr w:rsidR="00EB38BF" w:rsidRPr="00EB38BF" w:rsidTr="00EB38BF">
        <w:trPr>
          <w:jc w:val="center"/>
        </w:trPr>
        <w:tc>
          <w:tcPr>
            <w:tcW w:w="1237" w:type="dxa"/>
          </w:tcPr>
          <w:p w:rsidR="00EB38BF" w:rsidRPr="00EB38BF" w:rsidRDefault="00EB38BF"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4</w:t>
            </w:r>
          </w:p>
        </w:tc>
        <w:tc>
          <w:tcPr>
            <w:tcW w:w="1262" w:type="dxa"/>
          </w:tcPr>
          <w:p w:rsidR="00EB38BF" w:rsidRPr="00EB38BF" w:rsidRDefault="00EB38BF"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10</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3.9</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11</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3.9</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11</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3.80</w:t>
            </w:r>
          </w:p>
        </w:tc>
      </w:tr>
      <w:tr w:rsidR="00EB38BF" w:rsidRPr="00EB38BF" w:rsidTr="00EB38BF">
        <w:trPr>
          <w:jc w:val="center"/>
        </w:trPr>
        <w:tc>
          <w:tcPr>
            <w:tcW w:w="1237" w:type="dxa"/>
          </w:tcPr>
          <w:p w:rsidR="00EB38BF" w:rsidRPr="00EB38BF" w:rsidRDefault="00EB38BF"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6</w:t>
            </w:r>
          </w:p>
        </w:tc>
        <w:tc>
          <w:tcPr>
            <w:tcW w:w="1262" w:type="dxa"/>
          </w:tcPr>
          <w:p w:rsidR="00EB38BF" w:rsidRPr="00EB38BF" w:rsidRDefault="00EB38BF"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4</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3.7</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4</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3.73</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4</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3.73</w:t>
            </w:r>
          </w:p>
        </w:tc>
      </w:tr>
      <w:tr w:rsidR="00EB38BF" w:rsidRPr="00EB38BF" w:rsidTr="00EB38BF">
        <w:trPr>
          <w:jc w:val="center"/>
        </w:trPr>
        <w:tc>
          <w:tcPr>
            <w:tcW w:w="1237" w:type="dxa"/>
          </w:tcPr>
          <w:p w:rsidR="00EB38BF" w:rsidRPr="00EB38BF" w:rsidRDefault="00EB38BF"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7</w:t>
            </w:r>
          </w:p>
        </w:tc>
        <w:tc>
          <w:tcPr>
            <w:tcW w:w="1262" w:type="dxa"/>
          </w:tcPr>
          <w:p w:rsidR="00EB38BF" w:rsidRPr="00EB38BF" w:rsidRDefault="00EB38BF" w:rsidP="00EB38BF">
            <w:pPr>
              <w:spacing w:after="0" w:line="276" w:lineRule="auto"/>
              <w:jc w:val="both"/>
              <w:rPr>
                <w:rFonts w:ascii="Times New Roman" w:hAnsi="Times New Roman"/>
                <w:b/>
                <w:sz w:val="20"/>
                <w:szCs w:val="20"/>
                <w:lang w:val="es-PE"/>
              </w:rPr>
            </w:pPr>
            <w:r w:rsidRPr="00EB38BF">
              <w:rPr>
                <w:rFonts w:ascii="Times New Roman" w:hAnsi="Times New Roman"/>
                <w:b/>
                <w:sz w:val="20"/>
                <w:szCs w:val="20"/>
                <w:lang w:val="es-PE"/>
              </w:rPr>
              <w:t>0</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3.65</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0</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3.71</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0</w:t>
            </w:r>
          </w:p>
        </w:tc>
        <w:tc>
          <w:tcPr>
            <w:tcW w:w="978" w:type="dxa"/>
          </w:tcPr>
          <w:p w:rsidR="00EB38BF" w:rsidRPr="00EB38BF" w:rsidRDefault="00EB38BF" w:rsidP="00EB38BF">
            <w:pPr>
              <w:spacing w:after="0" w:line="276" w:lineRule="auto"/>
              <w:jc w:val="both"/>
              <w:rPr>
                <w:rFonts w:ascii="Times New Roman" w:hAnsi="Times New Roman"/>
                <w:sz w:val="20"/>
                <w:szCs w:val="20"/>
              </w:rPr>
            </w:pPr>
            <w:r w:rsidRPr="00EB38BF">
              <w:rPr>
                <w:rFonts w:ascii="Times New Roman" w:hAnsi="Times New Roman"/>
                <w:sz w:val="20"/>
                <w:szCs w:val="20"/>
              </w:rPr>
              <w:t>3.63</w:t>
            </w:r>
          </w:p>
        </w:tc>
      </w:tr>
    </w:tbl>
    <w:p w:rsidR="00EB38BF" w:rsidRPr="00EB38BF" w:rsidRDefault="00EB38BF" w:rsidP="00FC3628">
      <w:pPr>
        <w:spacing w:after="0" w:line="360" w:lineRule="auto"/>
        <w:jc w:val="center"/>
        <w:rPr>
          <w:rFonts w:ascii="Times New Roman" w:hAnsi="Times New Roman"/>
          <w:b/>
          <w:sz w:val="24"/>
          <w:szCs w:val="24"/>
        </w:rPr>
      </w:pPr>
    </w:p>
    <w:p w:rsidR="00FD3AE3" w:rsidRPr="00FC3628" w:rsidRDefault="00EB38BF" w:rsidP="00EB38BF">
      <w:pPr>
        <w:spacing w:after="0" w:line="276" w:lineRule="auto"/>
        <w:jc w:val="center"/>
        <w:rPr>
          <w:rFonts w:ascii="Times New Roman" w:hAnsi="Times New Roman"/>
          <w:sz w:val="20"/>
          <w:szCs w:val="24"/>
        </w:rPr>
      </w:pPr>
      <w:r w:rsidRPr="009D1D63">
        <w:rPr>
          <w:rFonts w:ascii="Garamont" w:hAnsi="Garamont"/>
          <w:noProof/>
          <w:sz w:val="24"/>
          <w:szCs w:val="24"/>
          <w:lang w:eastAsia="es-EC"/>
        </w:rPr>
        <w:drawing>
          <wp:anchor distT="0" distB="0" distL="114300" distR="114300" simplePos="0" relativeHeight="251661824" behindDoc="0" locked="0" layoutInCell="1" allowOverlap="1">
            <wp:simplePos x="0" y="0"/>
            <wp:positionH relativeFrom="column">
              <wp:posOffset>118745</wp:posOffset>
            </wp:positionH>
            <wp:positionV relativeFrom="paragraph">
              <wp:posOffset>170180</wp:posOffset>
            </wp:positionV>
            <wp:extent cx="5591175" cy="2476500"/>
            <wp:effectExtent l="0" t="0" r="9525" b="0"/>
            <wp:wrapTopAndBottom/>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FC3628" w:rsidRPr="00FC3628">
        <w:rPr>
          <w:rFonts w:ascii="Times New Roman" w:hAnsi="Times New Roman"/>
          <w:b/>
          <w:sz w:val="20"/>
          <w:szCs w:val="24"/>
        </w:rPr>
        <w:t>Figura 2:</w:t>
      </w:r>
      <w:r w:rsidR="00FD3AE3" w:rsidRPr="00FC3628">
        <w:rPr>
          <w:rFonts w:ascii="Times New Roman" w:hAnsi="Times New Roman"/>
          <w:sz w:val="20"/>
          <w:szCs w:val="24"/>
        </w:rPr>
        <w:t xml:space="preserve"> Variación de los Sólidos Solubles (Brix) Vs  duración de la fermentación</w:t>
      </w:r>
    </w:p>
    <w:p w:rsidR="00FD3AE3" w:rsidRPr="00EF07E6" w:rsidRDefault="00FD3AE3" w:rsidP="00FD3AE3">
      <w:pPr>
        <w:spacing w:after="0" w:line="360" w:lineRule="auto"/>
        <w:jc w:val="both"/>
        <w:rPr>
          <w:rFonts w:ascii="Times New Roman" w:hAnsi="Times New Roman"/>
          <w:sz w:val="20"/>
          <w:szCs w:val="24"/>
        </w:rPr>
      </w:pPr>
      <w:r w:rsidRPr="00FD3AE3">
        <w:rPr>
          <w:rFonts w:ascii="Times New Roman" w:hAnsi="Times New Roman"/>
          <w:sz w:val="24"/>
          <w:szCs w:val="24"/>
        </w:rPr>
        <w:t xml:space="preserve">   </w:t>
      </w:r>
    </w:p>
    <w:p w:rsidR="00FD3AE3" w:rsidRPr="00FC3628" w:rsidRDefault="005829A6" w:rsidP="005829A6">
      <w:pPr>
        <w:spacing w:after="0" w:line="276" w:lineRule="auto"/>
        <w:jc w:val="center"/>
        <w:rPr>
          <w:rFonts w:ascii="Times New Roman" w:hAnsi="Times New Roman"/>
          <w:sz w:val="20"/>
          <w:szCs w:val="24"/>
        </w:rPr>
      </w:pPr>
      <w:r w:rsidRPr="009D1D63">
        <w:rPr>
          <w:rFonts w:ascii="Garamont" w:hAnsi="Garamont"/>
          <w:noProof/>
          <w:sz w:val="24"/>
          <w:szCs w:val="24"/>
          <w:lang w:eastAsia="es-EC"/>
        </w:rPr>
        <w:drawing>
          <wp:anchor distT="0" distB="0" distL="114300" distR="114300" simplePos="0" relativeHeight="251662848" behindDoc="0" locked="0" layoutInCell="1" allowOverlap="1">
            <wp:simplePos x="0" y="0"/>
            <wp:positionH relativeFrom="column">
              <wp:posOffset>-347980</wp:posOffset>
            </wp:positionH>
            <wp:positionV relativeFrom="paragraph">
              <wp:posOffset>152400</wp:posOffset>
            </wp:positionV>
            <wp:extent cx="6915150" cy="2819400"/>
            <wp:effectExtent l="0" t="0" r="0" b="0"/>
            <wp:wrapTopAndBottom/>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FC3628" w:rsidRPr="00FC3628">
        <w:rPr>
          <w:rFonts w:ascii="Times New Roman" w:hAnsi="Times New Roman"/>
          <w:b/>
          <w:sz w:val="20"/>
          <w:szCs w:val="24"/>
        </w:rPr>
        <w:t>Figura 3:</w:t>
      </w:r>
      <w:r w:rsidR="00FD3AE3" w:rsidRPr="00FC3628">
        <w:rPr>
          <w:rFonts w:ascii="Times New Roman" w:hAnsi="Times New Roman"/>
          <w:sz w:val="20"/>
          <w:szCs w:val="24"/>
        </w:rPr>
        <w:t xml:space="preserve"> Variación del pH versus Tiempo</w:t>
      </w:r>
    </w:p>
    <w:p w:rsidR="00FC3628" w:rsidRPr="00EF07E6" w:rsidRDefault="00FC3628" w:rsidP="00FD3AE3">
      <w:pPr>
        <w:spacing w:after="0" w:line="360" w:lineRule="auto"/>
        <w:jc w:val="both"/>
        <w:rPr>
          <w:rFonts w:ascii="Times New Roman" w:hAnsi="Times New Roman"/>
          <w:sz w:val="20"/>
          <w:szCs w:val="24"/>
        </w:rPr>
      </w:pPr>
    </w:p>
    <w:p w:rsidR="00FD3AE3" w:rsidRPr="00FC3628" w:rsidRDefault="00FD3AE3" w:rsidP="005829A6">
      <w:pPr>
        <w:spacing w:after="0" w:line="276" w:lineRule="auto"/>
        <w:jc w:val="center"/>
        <w:rPr>
          <w:rFonts w:ascii="Times New Roman" w:hAnsi="Times New Roman"/>
          <w:sz w:val="20"/>
          <w:szCs w:val="24"/>
        </w:rPr>
      </w:pPr>
      <w:r w:rsidRPr="00FC3628">
        <w:rPr>
          <w:rFonts w:ascii="Times New Roman" w:hAnsi="Times New Roman"/>
          <w:b/>
          <w:sz w:val="20"/>
          <w:szCs w:val="24"/>
        </w:rPr>
        <w:t>Tabla 4</w:t>
      </w:r>
      <w:r w:rsidR="00FC3628" w:rsidRPr="00FC3628">
        <w:rPr>
          <w:rFonts w:ascii="Times New Roman" w:hAnsi="Times New Roman"/>
          <w:b/>
          <w:sz w:val="20"/>
          <w:szCs w:val="24"/>
        </w:rPr>
        <w:t xml:space="preserve">: </w:t>
      </w:r>
      <w:r w:rsidRPr="00FC3628">
        <w:rPr>
          <w:rFonts w:ascii="Times New Roman" w:hAnsi="Times New Roman"/>
          <w:sz w:val="20"/>
          <w:szCs w:val="24"/>
        </w:rPr>
        <w:t>Grado alcohólico final, pH final versus   duración de la fermentación</w:t>
      </w:r>
    </w:p>
    <w:tbl>
      <w:tblPr>
        <w:tblStyle w:val="Tablaconcuadrcula"/>
        <w:tblW w:w="0" w:type="auto"/>
        <w:jc w:val="center"/>
        <w:tblLook w:val="04A0" w:firstRow="1" w:lastRow="0" w:firstColumn="1" w:lastColumn="0" w:noHBand="0" w:noVBand="1"/>
      </w:tblPr>
      <w:tblGrid>
        <w:gridCol w:w="1555"/>
        <w:gridCol w:w="1770"/>
        <w:gridCol w:w="1134"/>
        <w:gridCol w:w="1150"/>
      </w:tblGrid>
      <w:tr w:rsidR="005829A6" w:rsidRPr="005829A6" w:rsidTr="005829A6">
        <w:trPr>
          <w:jc w:val="center"/>
        </w:trPr>
        <w:tc>
          <w:tcPr>
            <w:tcW w:w="1555" w:type="dxa"/>
            <w:vMerge w:val="restart"/>
          </w:tcPr>
          <w:p w:rsidR="005829A6" w:rsidRPr="005829A6" w:rsidRDefault="005829A6" w:rsidP="00EF07E6">
            <w:pPr>
              <w:spacing w:after="0" w:line="240" w:lineRule="auto"/>
              <w:jc w:val="both"/>
              <w:rPr>
                <w:rFonts w:ascii="Times New Roman" w:hAnsi="Times New Roman"/>
                <w:b/>
                <w:sz w:val="20"/>
                <w:szCs w:val="20"/>
                <w:lang w:val="es-PE"/>
              </w:rPr>
            </w:pPr>
            <w:r w:rsidRPr="005829A6">
              <w:rPr>
                <w:rFonts w:ascii="Times New Roman" w:hAnsi="Times New Roman"/>
                <w:b/>
                <w:sz w:val="20"/>
                <w:szCs w:val="20"/>
                <w:lang w:val="es-PE"/>
              </w:rPr>
              <w:t>Tratamientos del DCCR</w:t>
            </w:r>
          </w:p>
        </w:tc>
        <w:tc>
          <w:tcPr>
            <w:tcW w:w="4054" w:type="dxa"/>
            <w:gridSpan w:val="3"/>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b/>
                <w:sz w:val="20"/>
                <w:szCs w:val="20"/>
                <w:lang w:val="es-PE"/>
              </w:rPr>
              <w:t>Resultados del análisis (media +De, n=3)</w:t>
            </w:r>
          </w:p>
        </w:tc>
      </w:tr>
      <w:tr w:rsidR="005829A6" w:rsidRPr="005829A6" w:rsidTr="005829A6">
        <w:trPr>
          <w:jc w:val="center"/>
        </w:trPr>
        <w:tc>
          <w:tcPr>
            <w:tcW w:w="1555" w:type="dxa"/>
            <w:vMerge/>
          </w:tcPr>
          <w:p w:rsidR="005829A6" w:rsidRPr="005829A6" w:rsidRDefault="005829A6" w:rsidP="00EF07E6">
            <w:pPr>
              <w:spacing w:after="0" w:line="240" w:lineRule="auto"/>
              <w:jc w:val="both"/>
              <w:rPr>
                <w:rFonts w:ascii="Times New Roman" w:hAnsi="Times New Roman"/>
                <w:sz w:val="20"/>
                <w:szCs w:val="20"/>
              </w:rPr>
            </w:pPr>
          </w:p>
        </w:tc>
        <w:tc>
          <w:tcPr>
            <w:tcW w:w="177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b/>
                <w:sz w:val="20"/>
                <w:szCs w:val="20"/>
                <w:lang w:val="es-PE"/>
              </w:rPr>
              <w:t xml:space="preserve">Duración (días)     </w:t>
            </w:r>
          </w:p>
        </w:tc>
        <w:tc>
          <w:tcPr>
            <w:tcW w:w="1134"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b/>
                <w:sz w:val="20"/>
                <w:szCs w:val="20"/>
                <w:lang w:val="es-PE"/>
              </w:rPr>
              <w:t>ºGA</w:t>
            </w:r>
          </w:p>
        </w:tc>
        <w:tc>
          <w:tcPr>
            <w:tcW w:w="115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b/>
                <w:sz w:val="20"/>
                <w:szCs w:val="20"/>
                <w:lang w:val="es-PE"/>
              </w:rPr>
              <w:t>pH</w:t>
            </w:r>
          </w:p>
        </w:tc>
      </w:tr>
      <w:tr w:rsidR="005829A6" w:rsidRPr="005829A6" w:rsidTr="005829A6">
        <w:trPr>
          <w:jc w:val="center"/>
        </w:trPr>
        <w:tc>
          <w:tcPr>
            <w:tcW w:w="1555"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1</w:t>
            </w:r>
          </w:p>
        </w:tc>
        <w:tc>
          <w:tcPr>
            <w:tcW w:w="177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6</w:t>
            </w:r>
          </w:p>
        </w:tc>
        <w:tc>
          <w:tcPr>
            <w:tcW w:w="1134"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lang w:val="es-PE"/>
              </w:rPr>
              <w:t>9.8±0</w:t>
            </w:r>
            <w:r w:rsidRPr="005829A6">
              <w:rPr>
                <w:rFonts w:ascii="Times New Roman" w:hAnsi="Times New Roman"/>
                <w:sz w:val="20"/>
                <w:szCs w:val="20"/>
                <w:lang w:val="es-PE"/>
              </w:rPr>
              <w:tab/>
            </w:r>
          </w:p>
        </w:tc>
        <w:tc>
          <w:tcPr>
            <w:tcW w:w="115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3.68</w:t>
            </w:r>
          </w:p>
        </w:tc>
      </w:tr>
      <w:tr w:rsidR="005829A6" w:rsidRPr="005829A6" w:rsidTr="005829A6">
        <w:trPr>
          <w:jc w:val="center"/>
        </w:trPr>
        <w:tc>
          <w:tcPr>
            <w:tcW w:w="1555"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2</w:t>
            </w:r>
          </w:p>
        </w:tc>
        <w:tc>
          <w:tcPr>
            <w:tcW w:w="177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8</w:t>
            </w:r>
          </w:p>
        </w:tc>
        <w:tc>
          <w:tcPr>
            <w:tcW w:w="1134"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lang w:val="es-PE"/>
              </w:rPr>
              <w:t>11±0.3</w:t>
            </w:r>
          </w:p>
        </w:tc>
        <w:tc>
          <w:tcPr>
            <w:tcW w:w="115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3.65</w:t>
            </w:r>
          </w:p>
        </w:tc>
      </w:tr>
      <w:tr w:rsidR="005829A6" w:rsidRPr="005829A6" w:rsidTr="005829A6">
        <w:trPr>
          <w:jc w:val="center"/>
        </w:trPr>
        <w:tc>
          <w:tcPr>
            <w:tcW w:w="1555"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3</w:t>
            </w:r>
          </w:p>
        </w:tc>
        <w:tc>
          <w:tcPr>
            <w:tcW w:w="177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6</w:t>
            </w:r>
          </w:p>
        </w:tc>
        <w:tc>
          <w:tcPr>
            <w:tcW w:w="1134"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lang w:val="es-PE"/>
              </w:rPr>
              <w:t>10±0</w:t>
            </w:r>
          </w:p>
        </w:tc>
        <w:tc>
          <w:tcPr>
            <w:tcW w:w="115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3.66</w:t>
            </w:r>
          </w:p>
        </w:tc>
      </w:tr>
      <w:tr w:rsidR="005829A6" w:rsidRPr="005829A6" w:rsidTr="005829A6">
        <w:trPr>
          <w:jc w:val="center"/>
        </w:trPr>
        <w:tc>
          <w:tcPr>
            <w:tcW w:w="1555"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4</w:t>
            </w:r>
          </w:p>
        </w:tc>
        <w:tc>
          <w:tcPr>
            <w:tcW w:w="177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9</w:t>
            </w:r>
          </w:p>
        </w:tc>
        <w:tc>
          <w:tcPr>
            <w:tcW w:w="1134"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lang w:val="es-PE"/>
              </w:rPr>
              <w:t>11±0</w:t>
            </w:r>
          </w:p>
        </w:tc>
        <w:tc>
          <w:tcPr>
            <w:tcW w:w="115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3.55</w:t>
            </w:r>
          </w:p>
        </w:tc>
      </w:tr>
      <w:tr w:rsidR="005829A6" w:rsidRPr="005829A6" w:rsidTr="005829A6">
        <w:trPr>
          <w:jc w:val="center"/>
        </w:trPr>
        <w:tc>
          <w:tcPr>
            <w:tcW w:w="1555"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5</w:t>
            </w:r>
          </w:p>
        </w:tc>
        <w:tc>
          <w:tcPr>
            <w:tcW w:w="177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6</w:t>
            </w:r>
          </w:p>
        </w:tc>
        <w:tc>
          <w:tcPr>
            <w:tcW w:w="1134"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lang w:val="es-PE"/>
              </w:rPr>
              <w:t>9 ±0</w:t>
            </w:r>
          </w:p>
        </w:tc>
        <w:tc>
          <w:tcPr>
            <w:tcW w:w="115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3.67</w:t>
            </w:r>
          </w:p>
        </w:tc>
      </w:tr>
      <w:tr w:rsidR="005829A6" w:rsidRPr="005829A6" w:rsidTr="005829A6">
        <w:trPr>
          <w:jc w:val="center"/>
        </w:trPr>
        <w:tc>
          <w:tcPr>
            <w:tcW w:w="1555"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6</w:t>
            </w:r>
          </w:p>
        </w:tc>
        <w:tc>
          <w:tcPr>
            <w:tcW w:w="177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10</w:t>
            </w:r>
          </w:p>
        </w:tc>
        <w:tc>
          <w:tcPr>
            <w:tcW w:w="1134"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12.6</w:t>
            </w:r>
            <w:r w:rsidRPr="005829A6">
              <w:rPr>
                <w:rFonts w:ascii="Times New Roman" w:hAnsi="Times New Roman"/>
                <w:sz w:val="20"/>
                <w:szCs w:val="20"/>
                <w:lang w:val="es-PE"/>
              </w:rPr>
              <w:t>±0</w:t>
            </w:r>
          </w:p>
        </w:tc>
        <w:tc>
          <w:tcPr>
            <w:tcW w:w="115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3.49</w:t>
            </w:r>
          </w:p>
        </w:tc>
      </w:tr>
      <w:tr w:rsidR="005829A6" w:rsidRPr="005829A6" w:rsidTr="005829A6">
        <w:trPr>
          <w:jc w:val="center"/>
        </w:trPr>
        <w:tc>
          <w:tcPr>
            <w:tcW w:w="1555"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7</w:t>
            </w:r>
          </w:p>
        </w:tc>
        <w:tc>
          <w:tcPr>
            <w:tcW w:w="177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08</w:t>
            </w:r>
          </w:p>
        </w:tc>
        <w:tc>
          <w:tcPr>
            <w:tcW w:w="1134"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9</w:t>
            </w:r>
            <w:r w:rsidRPr="005829A6">
              <w:rPr>
                <w:rFonts w:ascii="Times New Roman" w:hAnsi="Times New Roman"/>
                <w:sz w:val="20"/>
                <w:szCs w:val="20"/>
                <w:lang w:val="es-PE"/>
              </w:rPr>
              <w:t>±0</w:t>
            </w:r>
          </w:p>
        </w:tc>
        <w:tc>
          <w:tcPr>
            <w:tcW w:w="115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3.68</w:t>
            </w:r>
          </w:p>
        </w:tc>
      </w:tr>
      <w:tr w:rsidR="005829A6" w:rsidRPr="005829A6" w:rsidTr="005829A6">
        <w:trPr>
          <w:jc w:val="center"/>
        </w:trPr>
        <w:tc>
          <w:tcPr>
            <w:tcW w:w="1555"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8</w:t>
            </w:r>
          </w:p>
        </w:tc>
        <w:tc>
          <w:tcPr>
            <w:tcW w:w="177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08</w:t>
            </w:r>
          </w:p>
        </w:tc>
        <w:tc>
          <w:tcPr>
            <w:tcW w:w="1134"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10</w:t>
            </w:r>
            <w:r w:rsidRPr="005829A6">
              <w:rPr>
                <w:rFonts w:ascii="Times New Roman" w:hAnsi="Times New Roman"/>
                <w:sz w:val="20"/>
                <w:szCs w:val="20"/>
                <w:lang w:val="es-PE"/>
              </w:rPr>
              <w:t>±0</w:t>
            </w:r>
          </w:p>
        </w:tc>
        <w:tc>
          <w:tcPr>
            <w:tcW w:w="115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3.62</w:t>
            </w:r>
          </w:p>
        </w:tc>
      </w:tr>
      <w:tr w:rsidR="005829A6" w:rsidRPr="005829A6" w:rsidTr="005829A6">
        <w:trPr>
          <w:jc w:val="center"/>
        </w:trPr>
        <w:tc>
          <w:tcPr>
            <w:tcW w:w="1555"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9</w:t>
            </w:r>
          </w:p>
        </w:tc>
        <w:tc>
          <w:tcPr>
            <w:tcW w:w="177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07</w:t>
            </w:r>
          </w:p>
        </w:tc>
        <w:tc>
          <w:tcPr>
            <w:tcW w:w="1134"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9</w:t>
            </w:r>
            <w:r w:rsidRPr="005829A6">
              <w:rPr>
                <w:rFonts w:ascii="Times New Roman" w:hAnsi="Times New Roman"/>
                <w:sz w:val="20"/>
                <w:szCs w:val="20"/>
                <w:lang w:val="es-PE"/>
              </w:rPr>
              <w:t>±0</w:t>
            </w:r>
          </w:p>
        </w:tc>
        <w:tc>
          <w:tcPr>
            <w:tcW w:w="115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3.65</w:t>
            </w:r>
          </w:p>
        </w:tc>
      </w:tr>
      <w:tr w:rsidR="005829A6" w:rsidRPr="005829A6" w:rsidTr="005829A6">
        <w:trPr>
          <w:jc w:val="center"/>
        </w:trPr>
        <w:tc>
          <w:tcPr>
            <w:tcW w:w="1555" w:type="dxa"/>
          </w:tcPr>
          <w:p w:rsidR="005829A6" w:rsidRPr="005829A6" w:rsidRDefault="005829A6" w:rsidP="00EF07E6">
            <w:pPr>
              <w:spacing w:after="0" w:line="240" w:lineRule="auto"/>
              <w:jc w:val="both"/>
              <w:rPr>
                <w:rFonts w:ascii="Times New Roman" w:hAnsi="Times New Roman"/>
                <w:sz w:val="20"/>
                <w:szCs w:val="20"/>
              </w:rPr>
            </w:pPr>
            <w:r>
              <w:rPr>
                <w:rFonts w:ascii="Times New Roman" w:hAnsi="Times New Roman"/>
                <w:sz w:val="20"/>
                <w:szCs w:val="20"/>
              </w:rPr>
              <w:t>10</w:t>
            </w:r>
          </w:p>
        </w:tc>
        <w:tc>
          <w:tcPr>
            <w:tcW w:w="177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07</w:t>
            </w:r>
          </w:p>
        </w:tc>
        <w:tc>
          <w:tcPr>
            <w:tcW w:w="1134"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9</w:t>
            </w:r>
            <w:r w:rsidRPr="005829A6">
              <w:rPr>
                <w:rFonts w:ascii="Times New Roman" w:hAnsi="Times New Roman"/>
                <w:sz w:val="20"/>
                <w:szCs w:val="20"/>
                <w:lang w:val="es-PE"/>
              </w:rPr>
              <w:t>±0</w:t>
            </w:r>
          </w:p>
        </w:tc>
        <w:tc>
          <w:tcPr>
            <w:tcW w:w="115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3.73</w:t>
            </w:r>
          </w:p>
        </w:tc>
      </w:tr>
      <w:tr w:rsidR="005829A6" w:rsidRPr="005829A6" w:rsidTr="005829A6">
        <w:trPr>
          <w:jc w:val="center"/>
        </w:trPr>
        <w:tc>
          <w:tcPr>
            <w:tcW w:w="1555" w:type="dxa"/>
          </w:tcPr>
          <w:p w:rsidR="005829A6" w:rsidRPr="005829A6" w:rsidRDefault="005829A6" w:rsidP="00EF07E6">
            <w:pPr>
              <w:spacing w:after="0" w:line="240" w:lineRule="auto"/>
              <w:jc w:val="both"/>
              <w:rPr>
                <w:rFonts w:ascii="Times New Roman" w:hAnsi="Times New Roman"/>
                <w:sz w:val="20"/>
                <w:szCs w:val="20"/>
              </w:rPr>
            </w:pPr>
            <w:r>
              <w:rPr>
                <w:rFonts w:ascii="Times New Roman" w:hAnsi="Times New Roman"/>
                <w:sz w:val="20"/>
                <w:szCs w:val="20"/>
              </w:rPr>
              <w:t>11</w:t>
            </w:r>
          </w:p>
        </w:tc>
        <w:tc>
          <w:tcPr>
            <w:tcW w:w="177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07</w:t>
            </w:r>
          </w:p>
        </w:tc>
        <w:tc>
          <w:tcPr>
            <w:tcW w:w="1134"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9</w:t>
            </w:r>
            <w:r w:rsidRPr="005829A6">
              <w:rPr>
                <w:rFonts w:ascii="Times New Roman" w:hAnsi="Times New Roman"/>
                <w:sz w:val="20"/>
                <w:szCs w:val="20"/>
                <w:lang w:val="es-PE"/>
              </w:rPr>
              <w:t>±0</w:t>
            </w:r>
          </w:p>
        </w:tc>
        <w:tc>
          <w:tcPr>
            <w:tcW w:w="1150" w:type="dxa"/>
          </w:tcPr>
          <w:p w:rsidR="005829A6" w:rsidRPr="005829A6" w:rsidRDefault="005829A6" w:rsidP="00EF07E6">
            <w:pPr>
              <w:spacing w:after="0" w:line="240" w:lineRule="auto"/>
              <w:jc w:val="both"/>
              <w:rPr>
                <w:rFonts w:ascii="Times New Roman" w:hAnsi="Times New Roman"/>
                <w:sz w:val="20"/>
                <w:szCs w:val="20"/>
              </w:rPr>
            </w:pPr>
            <w:r w:rsidRPr="005829A6">
              <w:rPr>
                <w:rFonts w:ascii="Times New Roman" w:hAnsi="Times New Roman"/>
                <w:sz w:val="20"/>
                <w:szCs w:val="20"/>
              </w:rPr>
              <w:t>3.6</w:t>
            </w:r>
          </w:p>
        </w:tc>
      </w:tr>
    </w:tbl>
    <w:p w:rsidR="00FD3AE3" w:rsidRPr="00FD3AE3" w:rsidRDefault="00FD3AE3" w:rsidP="00FD3AE3">
      <w:pPr>
        <w:spacing w:after="0" w:line="360" w:lineRule="auto"/>
        <w:jc w:val="both"/>
        <w:rPr>
          <w:rFonts w:ascii="Times New Roman" w:hAnsi="Times New Roman"/>
          <w:sz w:val="24"/>
          <w:szCs w:val="24"/>
        </w:rPr>
      </w:pPr>
    </w:p>
    <w:p w:rsidR="00FD3AE3" w:rsidRPr="00EB38BF" w:rsidRDefault="005829A6" w:rsidP="005829A6">
      <w:pPr>
        <w:spacing w:after="0" w:line="276" w:lineRule="auto"/>
        <w:jc w:val="center"/>
        <w:rPr>
          <w:rFonts w:ascii="Times New Roman" w:hAnsi="Times New Roman"/>
          <w:sz w:val="20"/>
          <w:szCs w:val="24"/>
        </w:rPr>
      </w:pPr>
      <w:r w:rsidRPr="009D1D63">
        <w:rPr>
          <w:rFonts w:ascii="Garamont" w:hAnsi="Garamont"/>
          <w:noProof/>
          <w:sz w:val="24"/>
          <w:szCs w:val="24"/>
          <w:lang w:eastAsia="es-EC"/>
        </w:rPr>
        <w:drawing>
          <wp:anchor distT="0" distB="0" distL="114300" distR="114300" simplePos="0" relativeHeight="251663872" behindDoc="0" locked="0" layoutInCell="1" allowOverlap="1">
            <wp:simplePos x="0" y="0"/>
            <wp:positionH relativeFrom="column">
              <wp:posOffset>565150</wp:posOffset>
            </wp:positionH>
            <wp:positionV relativeFrom="paragraph">
              <wp:posOffset>170815</wp:posOffset>
            </wp:positionV>
            <wp:extent cx="5284381" cy="2136775"/>
            <wp:effectExtent l="0" t="0" r="12065" b="15875"/>
            <wp:wrapTopAndBottom/>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EB38BF" w:rsidRPr="00EB38BF">
        <w:rPr>
          <w:rFonts w:ascii="Times New Roman" w:hAnsi="Times New Roman"/>
          <w:b/>
          <w:sz w:val="20"/>
          <w:szCs w:val="24"/>
        </w:rPr>
        <w:t>Figura 4:</w:t>
      </w:r>
      <w:r w:rsidR="00FD3AE3" w:rsidRPr="00EB38BF">
        <w:rPr>
          <w:rFonts w:ascii="Times New Roman" w:hAnsi="Times New Roman"/>
          <w:sz w:val="20"/>
          <w:szCs w:val="24"/>
        </w:rPr>
        <w:t xml:space="preserve"> Grados Alcohólicos finales Vs Tratamientos del DCCR</w:t>
      </w:r>
    </w:p>
    <w:p w:rsidR="00EB38BF" w:rsidRPr="00FD3AE3" w:rsidRDefault="00EB38BF" w:rsidP="00FD3AE3">
      <w:pPr>
        <w:spacing w:after="0" w:line="360" w:lineRule="auto"/>
        <w:jc w:val="both"/>
        <w:rPr>
          <w:rFonts w:ascii="Times New Roman" w:hAnsi="Times New Roman"/>
          <w:sz w:val="24"/>
          <w:szCs w:val="24"/>
        </w:rPr>
      </w:pPr>
    </w:p>
    <w:p w:rsidR="00FD3AE3" w:rsidRPr="00EB38BF" w:rsidRDefault="00EB38BF" w:rsidP="00EF07E6">
      <w:pPr>
        <w:spacing w:after="0" w:line="276" w:lineRule="auto"/>
        <w:jc w:val="center"/>
        <w:rPr>
          <w:rFonts w:ascii="Times New Roman" w:hAnsi="Times New Roman"/>
          <w:sz w:val="20"/>
          <w:szCs w:val="24"/>
        </w:rPr>
      </w:pPr>
      <w:r w:rsidRPr="00EB38BF">
        <w:rPr>
          <w:rFonts w:ascii="Times New Roman" w:hAnsi="Times New Roman"/>
          <w:b/>
          <w:sz w:val="20"/>
          <w:szCs w:val="24"/>
        </w:rPr>
        <w:t>Tabla 5:</w:t>
      </w:r>
      <w:r w:rsidR="00FD3AE3" w:rsidRPr="00EB38BF">
        <w:rPr>
          <w:rFonts w:ascii="Times New Roman" w:hAnsi="Times New Roman"/>
          <w:sz w:val="20"/>
          <w:szCs w:val="24"/>
        </w:rPr>
        <w:t xml:space="preserve"> Metodología de superficie respuesta, diseño factorial, Tratamientos del DCCR, V. independientes y V.  dependientes  (respuesta)</w:t>
      </w:r>
    </w:p>
    <w:tbl>
      <w:tblPr>
        <w:tblW w:w="9171" w:type="dxa"/>
        <w:jc w:val="center"/>
        <w:tblCellMar>
          <w:left w:w="0" w:type="dxa"/>
          <w:right w:w="0" w:type="dxa"/>
        </w:tblCellMar>
        <w:tblLook w:val="04A0" w:firstRow="1" w:lastRow="0" w:firstColumn="1" w:lastColumn="0" w:noHBand="0" w:noVBand="1"/>
      </w:tblPr>
      <w:tblGrid>
        <w:gridCol w:w="1835"/>
        <w:gridCol w:w="768"/>
        <w:gridCol w:w="662"/>
        <w:gridCol w:w="509"/>
        <w:gridCol w:w="1232"/>
        <w:gridCol w:w="2499"/>
        <w:gridCol w:w="441"/>
        <w:gridCol w:w="1225"/>
      </w:tblGrid>
      <w:tr w:rsidR="005829A6" w:rsidRPr="005829A6" w:rsidTr="00EF07E6">
        <w:trPr>
          <w:trHeight w:val="66"/>
          <w:jc w:val="center"/>
        </w:trPr>
        <w:tc>
          <w:tcPr>
            <w:tcW w:w="1835" w:type="dxa"/>
            <w:tcBorders>
              <w:top w:val="single" w:sz="6" w:space="0" w:color="000000"/>
              <w:left w:val="single" w:sz="6" w:space="0" w:color="CCCCCC"/>
              <w:bottom w:val="single" w:sz="6" w:space="0" w:color="000000"/>
              <w:right w:val="single" w:sz="6" w:space="0" w:color="CCCCCC"/>
            </w:tcBorders>
            <w:shd w:val="clear" w:color="auto" w:fill="D8D8D8"/>
            <w:tcMar>
              <w:top w:w="0" w:type="dxa"/>
              <w:left w:w="45" w:type="dxa"/>
              <w:bottom w:w="0" w:type="dxa"/>
              <w:right w:w="45" w:type="dxa"/>
            </w:tcMar>
            <w:vAlign w:val="bottom"/>
            <w:hideMark/>
          </w:tcPr>
          <w:p w:rsidR="005829A6" w:rsidRPr="005829A6" w:rsidRDefault="005829A6" w:rsidP="005829A6">
            <w:pPr>
              <w:spacing w:after="0" w:line="276" w:lineRule="auto"/>
              <w:rPr>
                <w:rFonts w:ascii="Times New Roman" w:eastAsia="Times New Roman" w:hAnsi="Times New Roman"/>
                <w:sz w:val="20"/>
                <w:szCs w:val="20"/>
                <w:lang w:val="es-PE" w:eastAsia="es-PE"/>
              </w:rPr>
            </w:pPr>
          </w:p>
        </w:tc>
        <w:tc>
          <w:tcPr>
            <w:tcW w:w="0" w:type="auto"/>
            <w:tcBorders>
              <w:top w:val="single" w:sz="6" w:space="0" w:color="000000"/>
              <w:left w:val="single" w:sz="6" w:space="0" w:color="CCCCCC"/>
              <w:bottom w:val="single" w:sz="6" w:space="0" w:color="000000"/>
              <w:right w:val="single" w:sz="6" w:space="0" w:color="CCCCCC"/>
            </w:tcBorders>
            <w:shd w:val="clear" w:color="auto" w:fill="D8D8D8"/>
            <w:tcMar>
              <w:top w:w="0" w:type="dxa"/>
              <w:left w:w="45" w:type="dxa"/>
              <w:bottom w:w="0" w:type="dxa"/>
              <w:right w:w="45" w:type="dxa"/>
            </w:tcMar>
            <w:vAlign w:val="bottom"/>
            <w:hideMark/>
          </w:tcPr>
          <w:p w:rsidR="005829A6" w:rsidRPr="005829A6" w:rsidRDefault="005829A6" w:rsidP="005829A6">
            <w:pPr>
              <w:spacing w:after="0" w:line="276" w:lineRule="auto"/>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 xml:space="preserve">Factores </w:t>
            </w:r>
          </w:p>
        </w:tc>
        <w:tc>
          <w:tcPr>
            <w:tcW w:w="0" w:type="auto"/>
            <w:tcBorders>
              <w:top w:val="single" w:sz="6" w:space="0" w:color="000000"/>
              <w:left w:val="single" w:sz="6" w:space="0" w:color="CCCCCC"/>
              <w:bottom w:val="single" w:sz="6" w:space="0" w:color="000000"/>
              <w:right w:val="single" w:sz="6" w:space="0" w:color="CCCCCC"/>
            </w:tcBorders>
            <w:shd w:val="clear" w:color="auto" w:fill="D8D8D8"/>
            <w:tcMar>
              <w:top w:w="0" w:type="dxa"/>
              <w:left w:w="45" w:type="dxa"/>
              <w:bottom w:w="0" w:type="dxa"/>
              <w:right w:w="45" w:type="dxa"/>
            </w:tcMar>
            <w:vAlign w:val="bottom"/>
            <w:hideMark/>
          </w:tcPr>
          <w:p w:rsidR="005829A6" w:rsidRPr="005829A6" w:rsidRDefault="005829A6" w:rsidP="005829A6">
            <w:pPr>
              <w:spacing w:after="0" w:line="276" w:lineRule="auto"/>
              <w:rPr>
                <w:rFonts w:ascii="Times New Roman" w:eastAsia="Times New Roman" w:hAnsi="Times New Roman"/>
                <w:sz w:val="20"/>
                <w:szCs w:val="20"/>
                <w:lang w:val="es-PE" w:eastAsia="es-PE"/>
              </w:rPr>
            </w:pPr>
          </w:p>
        </w:tc>
        <w:tc>
          <w:tcPr>
            <w:tcW w:w="1741" w:type="dxa"/>
            <w:gridSpan w:val="2"/>
            <w:tcBorders>
              <w:top w:val="single" w:sz="6" w:space="0" w:color="000000"/>
              <w:left w:val="single" w:sz="6" w:space="0" w:color="CCCCCC"/>
              <w:bottom w:val="single" w:sz="6" w:space="0" w:color="000000"/>
              <w:right w:val="single" w:sz="6" w:space="0" w:color="CCCCCC"/>
            </w:tcBorders>
            <w:shd w:val="clear" w:color="auto" w:fill="D9E2F3"/>
            <w:tcMar>
              <w:top w:w="0" w:type="dxa"/>
              <w:left w:w="45" w:type="dxa"/>
              <w:bottom w:w="0" w:type="dxa"/>
              <w:right w:w="45" w:type="dxa"/>
            </w:tcMar>
            <w:vAlign w:val="bottom"/>
            <w:hideMark/>
          </w:tcPr>
          <w:p w:rsidR="005829A6" w:rsidRPr="005829A6" w:rsidRDefault="005829A6" w:rsidP="005829A6">
            <w:pPr>
              <w:spacing w:after="0" w:line="276" w:lineRule="auto"/>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 xml:space="preserve">V.  Independientes   </w:t>
            </w:r>
          </w:p>
        </w:tc>
        <w:tc>
          <w:tcPr>
            <w:tcW w:w="4165" w:type="dxa"/>
            <w:gridSpan w:val="3"/>
            <w:tcBorders>
              <w:top w:val="single" w:sz="6" w:space="0" w:color="000000"/>
              <w:left w:val="single" w:sz="6" w:space="0" w:color="CCCCCC"/>
              <w:bottom w:val="single" w:sz="6" w:space="0" w:color="000000"/>
              <w:right w:val="single" w:sz="6" w:space="0" w:color="CCCCCC"/>
            </w:tcBorders>
            <w:shd w:val="clear" w:color="auto" w:fill="D9E2F3"/>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Variables dependientes</w:t>
            </w:r>
          </w:p>
        </w:tc>
      </w:tr>
      <w:tr w:rsidR="005829A6" w:rsidRPr="005829A6" w:rsidTr="00EF07E6">
        <w:trPr>
          <w:trHeight w:val="65"/>
          <w:jc w:val="center"/>
        </w:trPr>
        <w:tc>
          <w:tcPr>
            <w:tcW w:w="1835" w:type="dxa"/>
            <w:tcBorders>
              <w:top w:val="single" w:sz="6" w:space="0" w:color="CCCCCC"/>
              <w:left w:val="single" w:sz="6" w:space="0" w:color="CCCCCC"/>
              <w:bottom w:val="single" w:sz="6" w:space="0" w:color="000000"/>
              <w:right w:val="single" w:sz="6" w:space="0" w:color="CCCCCC"/>
            </w:tcBorders>
            <w:shd w:val="clear" w:color="auto" w:fill="D8D8D8"/>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N° Tratamientos</w:t>
            </w:r>
          </w:p>
        </w:tc>
        <w:tc>
          <w:tcPr>
            <w:tcW w:w="0" w:type="auto"/>
            <w:tcBorders>
              <w:top w:val="single" w:sz="6" w:space="0" w:color="CCCCCC"/>
              <w:left w:val="single" w:sz="6" w:space="0" w:color="CCCCCC"/>
              <w:bottom w:val="single" w:sz="6" w:space="0" w:color="000000"/>
              <w:right w:val="single" w:sz="6" w:space="0" w:color="CCCCCC"/>
            </w:tcBorders>
            <w:shd w:val="clear" w:color="auto" w:fill="D8D8D8"/>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X1</w:t>
            </w:r>
          </w:p>
        </w:tc>
        <w:tc>
          <w:tcPr>
            <w:tcW w:w="0" w:type="auto"/>
            <w:tcBorders>
              <w:top w:val="single" w:sz="6" w:space="0" w:color="CCCCCC"/>
              <w:left w:val="single" w:sz="6" w:space="0" w:color="CCCCCC"/>
              <w:bottom w:val="single" w:sz="6" w:space="0" w:color="000000"/>
              <w:right w:val="single" w:sz="6" w:space="0" w:color="CCCCCC"/>
            </w:tcBorders>
            <w:shd w:val="clear" w:color="auto" w:fill="D8D8D8"/>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X2</w:t>
            </w:r>
          </w:p>
        </w:tc>
        <w:tc>
          <w:tcPr>
            <w:tcW w:w="0" w:type="auto"/>
            <w:tcBorders>
              <w:top w:val="single" w:sz="6" w:space="0" w:color="CCCCCC"/>
              <w:left w:val="single" w:sz="6" w:space="0" w:color="CCCCCC"/>
              <w:bottom w:val="single" w:sz="6" w:space="0" w:color="000000"/>
              <w:right w:val="single" w:sz="6" w:space="0" w:color="CCCCCC"/>
            </w:tcBorders>
            <w:shd w:val="clear" w:color="auto" w:fill="D9E2F3"/>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ºBrix</w:t>
            </w:r>
          </w:p>
        </w:tc>
        <w:tc>
          <w:tcPr>
            <w:tcW w:w="1228" w:type="dxa"/>
            <w:tcBorders>
              <w:top w:val="single" w:sz="6" w:space="0" w:color="CCCCCC"/>
              <w:left w:val="single" w:sz="6" w:space="0" w:color="CCCCCC"/>
              <w:bottom w:val="single" w:sz="6" w:space="0" w:color="000000"/>
              <w:right w:val="single" w:sz="6" w:space="0" w:color="CCCCCC"/>
            </w:tcBorders>
            <w:shd w:val="clear" w:color="auto" w:fill="D9E2F3"/>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Nutriente</w:t>
            </w:r>
          </w:p>
        </w:tc>
        <w:tc>
          <w:tcPr>
            <w:tcW w:w="2499" w:type="dxa"/>
            <w:tcBorders>
              <w:top w:val="single" w:sz="6" w:space="0" w:color="CCCCCC"/>
              <w:left w:val="single" w:sz="6" w:space="0" w:color="CCCCCC"/>
              <w:bottom w:val="single" w:sz="6" w:space="0" w:color="000000"/>
              <w:right w:val="single" w:sz="6" w:space="0" w:color="CCCCCC"/>
            </w:tcBorders>
            <w:shd w:val="clear" w:color="auto" w:fill="D9E2F3"/>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color w:val="000000"/>
                <w:sz w:val="20"/>
                <w:szCs w:val="20"/>
                <w:lang w:val="es-PE" w:eastAsia="es-PE"/>
              </w:rPr>
            </w:pPr>
            <w:r w:rsidRPr="005829A6">
              <w:rPr>
                <w:rFonts w:ascii="Times New Roman" w:eastAsia="Times New Roman" w:hAnsi="Times New Roman"/>
                <w:color w:val="000000"/>
                <w:sz w:val="20"/>
                <w:szCs w:val="20"/>
                <w:lang w:val="es-PE" w:eastAsia="es-PE"/>
              </w:rPr>
              <w:t xml:space="preserve">duración de la fermentación  </w:t>
            </w:r>
          </w:p>
        </w:tc>
        <w:tc>
          <w:tcPr>
            <w:tcW w:w="0" w:type="auto"/>
            <w:tcBorders>
              <w:top w:val="single" w:sz="6" w:space="0" w:color="CCCCCC"/>
              <w:left w:val="single" w:sz="6" w:space="0" w:color="CCCCCC"/>
              <w:bottom w:val="single" w:sz="6" w:space="0" w:color="000000"/>
              <w:right w:val="single" w:sz="6" w:space="0" w:color="CCCCCC"/>
            </w:tcBorders>
            <w:shd w:val="clear" w:color="auto" w:fill="D9E2F3"/>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color w:val="000000"/>
                <w:sz w:val="20"/>
                <w:szCs w:val="20"/>
                <w:lang w:val="es-PE" w:eastAsia="es-PE"/>
              </w:rPr>
            </w:pPr>
            <w:r w:rsidRPr="005829A6">
              <w:rPr>
                <w:rFonts w:ascii="Times New Roman" w:eastAsia="Times New Roman" w:hAnsi="Times New Roman"/>
                <w:color w:val="000000"/>
                <w:sz w:val="20"/>
                <w:szCs w:val="20"/>
                <w:lang w:val="es-PE" w:eastAsia="es-PE"/>
              </w:rPr>
              <w:t>ºGA</w:t>
            </w:r>
          </w:p>
        </w:tc>
        <w:tc>
          <w:tcPr>
            <w:tcW w:w="1225" w:type="dxa"/>
            <w:tcBorders>
              <w:top w:val="single" w:sz="6" w:space="0" w:color="CCCCCC"/>
              <w:left w:val="single" w:sz="6" w:space="0" w:color="CCCCCC"/>
              <w:bottom w:val="single" w:sz="6" w:space="0" w:color="000000"/>
              <w:right w:val="single" w:sz="6" w:space="0" w:color="CCCCCC"/>
            </w:tcBorders>
            <w:shd w:val="clear" w:color="auto" w:fill="D9E2F3"/>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color w:val="000000"/>
                <w:sz w:val="20"/>
                <w:szCs w:val="20"/>
                <w:lang w:val="es-PE" w:eastAsia="es-PE"/>
              </w:rPr>
            </w:pPr>
            <w:r w:rsidRPr="005829A6">
              <w:rPr>
                <w:rFonts w:ascii="Times New Roman" w:eastAsia="Times New Roman" w:hAnsi="Times New Roman"/>
                <w:color w:val="000000"/>
                <w:sz w:val="20"/>
                <w:szCs w:val="20"/>
                <w:lang w:val="es-PE" w:eastAsia="es-PE"/>
              </w:rPr>
              <w:t>pH final</w:t>
            </w:r>
          </w:p>
        </w:tc>
      </w:tr>
      <w:tr w:rsidR="005829A6" w:rsidRPr="005829A6" w:rsidTr="00EF07E6">
        <w:trPr>
          <w:trHeight w:val="315"/>
          <w:jc w:val="center"/>
        </w:trPr>
        <w:tc>
          <w:tcPr>
            <w:tcW w:w="183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19,5</w:t>
            </w:r>
          </w:p>
        </w:tc>
        <w:tc>
          <w:tcPr>
            <w:tcW w:w="122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14,5</w:t>
            </w:r>
          </w:p>
        </w:tc>
        <w:tc>
          <w:tcPr>
            <w:tcW w:w="249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9.8</w:t>
            </w:r>
          </w:p>
        </w:tc>
        <w:tc>
          <w:tcPr>
            <w:tcW w:w="12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3.68</w:t>
            </w:r>
          </w:p>
        </w:tc>
      </w:tr>
      <w:tr w:rsidR="005829A6" w:rsidRPr="005829A6" w:rsidTr="00EF07E6">
        <w:trPr>
          <w:trHeight w:val="285"/>
          <w:jc w:val="center"/>
        </w:trPr>
        <w:tc>
          <w:tcPr>
            <w:tcW w:w="183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26,5</w:t>
            </w:r>
          </w:p>
        </w:tc>
        <w:tc>
          <w:tcPr>
            <w:tcW w:w="122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14,5</w:t>
            </w:r>
          </w:p>
        </w:tc>
        <w:tc>
          <w:tcPr>
            <w:tcW w:w="249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11</w:t>
            </w:r>
          </w:p>
        </w:tc>
        <w:tc>
          <w:tcPr>
            <w:tcW w:w="12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3.65</w:t>
            </w:r>
          </w:p>
        </w:tc>
      </w:tr>
      <w:tr w:rsidR="005829A6" w:rsidRPr="005829A6" w:rsidTr="00EF07E6">
        <w:trPr>
          <w:trHeight w:val="285"/>
          <w:jc w:val="center"/>
        </w:trPr>
        <w:tc>
          <w:tcPr>
            <w:tcW w:w="183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19,5</w:t>
            </w:r>
          </w:p>
        </w:tc>
        <w:tc>
          <w:tcPr>
            <w:tcW w:w="122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35,5</w:t>
            </w:r>
          </w:p>
        </w:tc>
        <w:tc>
          <w:tcPr>
            <w:tcW w:w="249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10</w:t>
            </w:r>
          </w:p>
        </w:tc>
        <w:tc>
          <w:tcPr>
            <w:tcW w:w="12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3.66</w:t>
            </w:r>
          </w:p>
        </w:tc>
      </w:tr>
      <w:tr w:rsidR="005829A6" w:rsidRPr="005829A6" w:rsidTr="00EF07E6">
        <w:trPr>
          <w:trHeight w:val="285"/>
          <w:jc w:val="center"/>
        </w:trPr>
        <w:tc>
          <w:tcPr>
            <w:tcW w:w="183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26,5</w:t>
            </w:r>
          </w:p>
        </w:tc>
        <w:tc>
          <w:tcPr>
            <w:tcW w:w="122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35,5</w:t>
            </w:r>
          </w:p>
        </w:tc>
        <w:tc>
          <w:tcPr>
            <w:tcW w:w="249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11</w:t>
            </w:r>
          </w:p>
        </w:tc>
        <w:tc>
          <w:tcPr>
            <w:tcW w:w="12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3.5</w:t>
            </w:r>
          </w:p>
        </w:tc>
      </w:tr>
      <w:tr w:rsidR="005829A6" w:rsidRPr="005829A6" w:rsidTr="00EF07E6">
        <w:trPr>
          <w:trHeight w:val="285"/>
          <w:jc w:val="center"/>
        </w:trPr>
        <w:tc>
          <w:tcPr>
            <w:tcW w:w="183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color w:val="000000"/>
                <w:sz w:val="20"/>
                <w:szCs w:val="20"/>
                <w:lang w:val="es-PE" w:eastAsia="es-PE"/>
              </w:rPr>
              <w:t>-        α</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18</w:t>
            </w:r>
          </w:p>
        </w:tc>
        <w:tc>
          <w:tcPr>
            <w:tcW w:w="122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25</w:t>
            </w:r>
          </w:p>
        </w:tc>
        <w:tc>
          <w:tcPr>
            <w:tcW w:w="249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9</w:t>
            </w:r>
          </w:p>
        </w:tc>
        <w:tc>
          <w:tcPr>
            <w:tcW w:w="12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3.67</w:t>
            </w:r>
          </w:p>
        </w:tc>
      </w:tr>
      <w:tr w:rsidR="005829A6" w:rsidRPr="005829A6" w:rsidTr="00EF07E6">
        <w:trPr>
          <w:trHeight w:val="285"/>
          <w:jc w:val="center"/>
        </w:trPr>
        <w:tc>
          <w:tcPr>
            <w:tcW w:w="183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 α</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28</w:t>
            </w:r>
          </w:p>
        </w:tc>
        <w:tc>
          <w:tcPr>
            <w:tcW w:w="122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25</w:t>
            </w:r>
          </w:p>
        </w:tc>
        <w:tc>
          <w:tcPr>
            <w:tcW w:w="249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12.6</w:t>
            </w:r>
          </w:p>
        </w:tc>
        <w:tc>
          <w:tcPr>
            <w:tcW w:w="12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3.59</w:t>
            </w:r>
          </w:p>
        </w:tc>
      </w:tr>
      <w:tr w:rsidR="005829A6" w:rsidRPr="005829A6" w:rsidTr="00EF07E6">
        <w:trPr>
          <w:trHeight w:val="285"/>
          <w:jc w:val="center"/>
        </w:trPr>
        <w:tc>
          <w:tcPr>
            <w:tcW w:w="183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color w:val="000000"/>
                <w:sz w:val="20"/>
                <w:szCs w:val="20"/>
                <w:lang w:val="es-PE" w:eastAsia="es-PE"/>
              </w:rPr>
              <w:t>-        α</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23</w:t>
            </w:r>
          </w:p>
        </w:tc>
        <w:tc>
          <w:tcPr>
            <w:tcW w:w="122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18</w:t>
            </w:r>
          </w:p>
        </w:tc>
        <w:tc>
          <w:tcPr>
            <w:tcW w:w="249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9</w:t>
            </w:r>
          </w:p>
        </w:tc>
        <w:tc>
          <w:tcPr>
            <w:tcW w:w="12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3.68</w:t>
            </w:r>
          </w:p>
        </w:tc>
      </w:tr>
      <w:tr w:rsidR="005829A6" w:rsidRPr="005829A6" w:rsidTr="00EF07E6">
        <w:trPr>
          <w:trHeight w:val="285"/>
          <w:jc w:val="center"/>
        </w:trPr>
        <w:tc>
          <w:tcPr>
            <w:tcW w:w="183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 α</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23</w:t>
            </w:r>
          </w:p>
        </w:tc>
        <w:tc>
          <w:tcPr>
            <w:tcW w:w="122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40</w:t>
            </w:r>
          </w:p>
        </w:tc>
        <w:tc>
          <w:tcPr>
            <w:tcW w:w="249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10</w:t>
            </w:r>
          </w:p>
        </w:tc>
        <w:tc>
          <w:tcPr>
            <w:tcW w:w="12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3.62</w:t>
            </w:r>
          </w:p>
        </w:tc>
      </w:tr>
      <w:tr w:rsidR="005829A6" w:rsidRPr="005829A6" w:rsidTr="00EF07E6">
        <w:trPr>
          <w:trHeight w:val="285"/>
          <w:jc w:val="center"/>
        </w:trPr>
        <w:tc>
          <w:tcPr>
            <w:tcW w:w="183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23</w:t>
            </w:r>
          </w:p>
        </w:tc>
        <w:tc>
          <w:tcPr>
            <w:tcW w:w="122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15</w:t>
            </w:r>
          </w:p>
        </w:tc>
        <w:tc>
          <w:tcPr>
            <w:tcW w:w="249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9</w:t>
            </w:r>
          </w:p>
        </w:tc>
        <w:tc>
          <w:tcPr>
            <w:tcW w:w="12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3.65</w:t>
            </w:r>
          </w:p>
        </w:tc>
      </w:tr>
      <w:tr w:rsidR="005829A6" w:rsidRPr="005829A6" w:rsidTr="00EF07E6">
        <w:trPr>
          <w:trHeight w:val="285"/>
          <w:jc w:val="center"/>
        </w:trPr>
        <w:tc>
          <w:tcPr>
            <w:tcW w:w="183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23</w:t>
            </w:r>
          </w:p>
        </w:tc>
        <w:tc>
          <w:tcPr>
            <w:tcW w:w="122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15</w:t>
            </w:r>
          </w:p>
        </w:tc>
        <w:tc>
          <w:tcPr>
            <w:tcW w:w="249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9</w:t>
            </w:r>
          </w:p>
        </w:tc>
        <w:tc>
          <w:tcPr>
            <w:tcW w:w="12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3.71</w:t>
            </w:r>
          </w:p>
        </w:tc>
      </w:tr>
      <w:tr w:rsidR="005829A6" w:rsidRPr="005829A6" w:rsidTr="00EF07E6">
        <w:trPr>
          <w:trHeight w:val="285"/>
          <w:jc w:val="center"/>
        </w:trPr>
        <w:tc>
          <w:tcPr>
            <w:tcW w:w="1835"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11</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0</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0</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23</w:t>
            </w:r>
          </w:p>
        </w:tc>
        <w:tc>
          <w:tcPr>
            <w:tcW w:w="1228"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center"/>
            <w:hideMark/>
          </w:tcPr>
          <w:p w:rsidR="005829A6" w:rsidRPr="005829A6" w:rsidRDefault="005829A6" w:rsidP="005829A6">
            <w:pPr>
              <w:spacing w:after="0" w:line="276" w:lineRule="auto"/>
              <w:jc w:val="center"/>
              <w:rPr>
                <w:rFonts w:ascii="Times New Roman" w:eastAsia="Times New Roman" w:hAnsi="Times New Roman"/>
                <w:sz w:val="20"/>
                <w:szCs w:val="20"/>
                <w:lang w:val="es-PE" w:eastAsia="es-PE"/>
              </w:rPr>
            </w:pPr>
            <w:r w:rsidRPr="005829A6">
              <w:rPr>
                <w:rFonts w:ascii="Times New Roman" w:eastAsia="Times New Roman" w:hAnsi="Times New Roman"/>
                <w:sz w:val="20"/>
                <w:szCs w:val="20"/>
                <w:lang w:val="es-PE" w:eastAsia="es-PE"/>
              </w:rPr>
              <w:t>15</w:t>
            </w:r>
          </w:p>
        </w:tc>
        <w:tc>
          <w:tcPr>
            <w:tcW w:w="2499"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color w:val="000000"/>
                <w:sz w:val="20"/>
                <w:szCs w:val="20"/>
                <w:lang w:val="es-PE" w:eastAsia="es-PE"/>
              </w:rPr>
            </w:pPr>
            <w:r w:rsidRPr="005829A6">
              <w:rPr>
                <w:rFonts w:ascii="Times New Roman" w:eastAsia="Times New Roman" w:hAnsi="Times New Roman"/>
                <w:color w:val="000000"/>
                <w:sz w:val="20"/>
                <w:szCs w:val="20"/>
                <w:lang w:val="es-PE" w:eastAsia="es-PE"/>
              </w:rPr>
              <w:t>7</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color w:val="000000"/>
                <w:sz w:val="20"/>
                <w:szCs w:val="20"/>
                <w:lang w:val="es-PE" w:eastAsia="es-PE"/>
              </w:rPr>
            </w:pPr>
            <w:r w:rsidRPr="005829A6">
              <w:rPr>
                <w:rFonts w:ascii="Times New Roman" w:eastAsia="Times New Roman" w:hAnsi="Times New Roman"/>
                <w:color w:val="000000"/>
                <w:sz w:val="20"/>
                <w:szCs w:val="20"/>
                <w:lang w:val="es-PE" w:eastAsia="es-PE"/>
              </w:rPr>
              <w:t>9</w:t>
            </w:r>
          </w:p>
        </w:tc>
        <w:tc>
          <w:tcPr>
            <w:tcW w:w="1225"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5829A6" w:rsidRPr="005829A6" w:rsidRDefault="005829A6" w:rsidP="005829A6">
            <w:pPr>
              <w:spacing w:after="0" w:line="276" w:lineRule="auto"/>
              <w:jc w:val="center"/>
              <w:rPr>
                <w:rFonts w:ascii="Times New Roman" w:eastAsia="Times New Roman" w:hAnsi="Times New Roman"/>
                <w:color w:val="000000"/>
                <w:sz w:val="20"/>
                <w:szCs w:val="20"/>
                <w:lang w:val="es-PE" w:eastAsia="es-PE"/>
              </w:rPr>
            </w:pPr>
            <w:r w:rsidRPr="005829A6">
              <w:rPr>
                <w:rFonts w:ascii="Times New Roman" w:eastAsia="Times New Roman" w:hAnsi="Times New Roman"/>
                <w:color w:val="000000"/>
                <w:sz w:val="20"/>
                <w:szCs w:val="20"/>
                <w:lang w:val="es-PE" w:eastAsia="es-PE"/>
              </w:rPr>
              <w:t>3.63</w:t>
            </w:r>
          </w:p>
        </w:tc>
      </w:tr>
    </w:tbl>
    <w:p w:rsidR="00FD3AE3" w:rsidRPr="00FD3AE3" w:rsidRDefault="00FD3AE3" w:rsidP="00FD3AE3">
      <w:pPr>
        <w:spacing w:after="0" w:line="360" w:lineRule="auto"/>
        <w:jc w:val="both"/>
        <w:rPr>
          <w:rFonts w:ascii="Times New Roman" w:hAnsi="Times New Roman"/>
          <w:sz w:val="24"/>
          <w:szCs w:val="24"/>
        </w:rPr>
      </w:pPr>
    </w:p>
    <w:p w:rsidR="00FD3AE3" w:rsidRPr="00EB38BF" w:rsidRDefault="00FD3AE3" w:rsidP="00EB38BF">
      <w:pPr>
        <w:spacing w:after="0" w:line="360" w:lineRule="auto"/>
        <w:jc w:val="center"/>
        <w:rPr>
          <w:rFonts w:ascii="Times New Roman" w:hAnsi="Times New Roman"/>
          <w:sz w:val="20"/>
          <w:szCs w:val="24"/>
        </w:rPr>
      </w:pPr>
      <w:r w:rsidRPr="00EB38BF">
        <w:rPr>
          <w:rFonts w:ascii="Times New Roman" w:hAnsi="Times New Roman"/>
          <w:b/>
          <w:sz w:val="20"/>
          <w:szCs w:val="24"/>
        </w:rPr>
        <w:t>Tabla 6</w:t>
      </w:r>
      <w:r w:rsidR="00EB38BF" w:rsidRPr="00EB38BF">
        <w:rPr>
          <w:rFonts w:ascii="Times New Roman" w:hAnsi="Times New Roman"/>
          <w:b/>
          <w:sz w:val="20"/>
          <w:szCs w:val="24"/>
        </w:rPr>
        <w:t>:</w:t>
      </w:r>
      <w:r w:rsidRPr="00EB38BF">
        <w:rPr>
          <w:rFonts w:ascii="Times New Roman" w:hAnsi="Times New Roman"/>
          <w:sz w:val="20"/>
          <w:szCs w:val="24"/>
        </w:rPr>
        <w:t xml:space="preserve"> Resumen del  ANOVA   para el grado alcohólico final, pH final, duración de la  fermentación</w:t>
      </w:r>
    </w:p>
    <w:tbl>
      <w:tblPr>
        <w:tblStyle w:val="Tablaconcuadrcula"/>
        <w:tblW w:w="0" w:type="auto"/>
        <w:jc w:val="center"/>
        <w:tblLook w:val="04A0" w:firstRow="1" w:lastRow="0" w:firstColumn="1" w:lastColumn="0" w:noHBand="0" w:noVBand="1"/>
      </w:tblPr>
      <w:tblGrid>
        <w:gridCol w:w="2336"/>
        <w:gridCol w:w="2713"/>
        <w:gridCol w:w="2977"/>
      </w:tblGrid>
      <w:tr w:rsidR="00EF07E6" w:rsidRPr="00EF07E6" w:rsidTr="00EF07E6">
        <w:trPr>
          <w:jc w:val="center"/>
        </w:trPr>
        <w:tc>
          <w:tcPr>
            <w:tcW w:w="2336" w:type="dxa"/>
            <w:vAlign w:val="center"/>
          </w:tcPr>
          <w:p w:rsidR="00EF07E6" w:rsidRPr="00EF07E6" w:rsidRDefault="00EF07E6" w:rsidP="00EF07E6">
            <w:pPr>
              <w:spacing w:after="0" w:line="240" w:lineRule="auto"/>
              <w:jc w:val="center"/>
              <w:rPr>
                <w:rFonts w:ascii="Times New Roman" w:hAnsi="Times New Roman"/>
                <w:sz w:val="20"/>
                <w:szCs w:val="24"/>
              </w:rPr>
            </w:pPr>
            <w:r w:rsidRPr="00EF07E6">
              <w:rPr>
                <w:rFonts w:ascii="Times New Roman" w:hAnsi="Times New Roman"/>
                <w:b/>
                <w:bCs/>
                <w:iCs/>
                <w:sz w:val="20"/>
                <w:szCs w:val="24"/>
                <w:lang w:val="es-PE"/>
              </w:rPr>
              <w:t>Variables</w:t>
            </w:r>
          </w:p>
        </w:tc>
        <w:tc>
          <w:tcPr>
            <w:tcW w:w="2713" w:type="dxa"/>
            <w:vAlign w:val="center"/>
          </w:tcPr>
          <w:p w:rsidR="00EF07E6" w:rsidRPr="00EF07E6" w:rsidRDefault="00EF07E6" w:rsidP="00EF07E6">
            <w:pPr>
              <w:spacing w:after="0" w:line="240" w:lineRule="auto"/>
              <w:jc w:val="center"/>
              <w:rPr>
                <w:rFonts w:ascii="Times New Roman" w:hAnsi="Times New Roman"/>
                <w:sz w:val="20"/>
                <w:szCs w:val="24"/>
              </w:rPr>
            </w:pPr>
            <w:r w:rsidRPr="00EF07E6">
              <w:rPr>
                <w:rFonts w:ascii="Times New Roman" w:hAnsi="Times New Roman"/>
                <w:b/>
                <w:bCs/>
                <w:iCs/>
                <w:sz w:val="20"/>
                <w:szCs w:val="24"/>
                <w:lang w:val="es-PE"/>
              </w:rPr>
              <w:t>Valor de P   Valor predicho</w:t>
            </w:r>
          </w:p>
        </w:tc>
        <w:tc>
          <w:tcPr>
            <w:tcW w:w="2977" w:type="dxa"/>
            <w:vAlign w:val="center"/>
          </w:tcPr>
          <w:p w:rsidR="00EF07E6" w:rsidRPr="00EF07E6" w:rsidRDefault="00EF07E6" w:rsidP="00EF07E6">
            <w:pPr>
              <w:spacing w:after="0" w:line="240" w:lineRule="auto"/>
              <w:jc w:val="center"/>
              <w:rPr>
                <w:rFonts w:ascii="Times New Roman" w:hAnsi="Times New Roman"/>
                <w:sz w:val="20"/>
                <w:szCs w:val="24"/>
              </w:rPr>
            </w:pPr>
            <w:r w:rsidRPr="00EF07E6">
              <w:rPr>
                <w:rFonts w:ascii="Times New Roman" w:hAnsi="Times New Roman"/>
                <w:b/>
                <w:bCs/>
                <w:iCs/>
                <w:sz w:val="20"/>
                <w:szCs w:val="24"/>
                <w:lang w:val="es-PE"/>
              </w:rPr>
              <w:t>Influencia (95% confianza)</w:t>
            </w:r>
          </w:p>
        </w:tc>
      </w:tr>
      <w:tr w:rsidR="00EF07E6" w:rsidRPr="00EF07E6" w:rsidTr="00EF07E6">
        <w:trPr>
          <w:jc w:val="center"/>
        </w:trPr>
        <w:tc>
          <w:tcPr>
            <w:tcW w:w="2336" w:type="dxa"/>
            <w:vAlign w:val="center"/>
          </w:tcPr>
          <w:p w:rsidR="00EF07E6" w:rsidRPr="00EF07E6" w:rsidRDefault="00EF07E6" w:rsidP="00EF07E6">
            <w:pPr>
              <w:spacing w:after="0" w:line="240" w:lineRule="auto"/>
              <w:jc w:val="center"/>
              <w:rPr>
                <w:rFonts w:ascii="Times New Roman" w:hAnsi="Times New Roman"/>
                <w:sz w:val="20"/>
                <w:szCs w:val="24"/>
              </w:rPr>
            </w:pPr>
            <w:r w:rsidRPr="00EF07E6">
              <w:rPr>
                <w:rFonts w:ascii="Times New Roman" w:hAnsi="Times New Roman"/>
                <w:b/>
                <w:bCs/>
                <w:iCs/>
                <w:sz w:val="20"/>
                <w:szCs w:val="24"/>
                <w:lang w:val="es-PE"/>
              </w:rPr>
              <w:t>Brix/Nut/GA</w:t>
            </w:r>
          </w:p>
        </w:tc>
        <w:tc>
          <w:tcPr>
            <w:tcW w:w="2713" w:type="dxa"/>
            <w:vAlign w:val="center"/>
          </w:tcPr>
          <w:p w:rsidR="00EF07E6" w:rsidRPr="00EF07E6" w:rsidRDefault="00EF07E6" w:rsidP="00EF07E6">
            <w:pPr>
              <w:spacing w:after="0" w:line="240" w:lineRule="auto"/>
              <w:jc w:val="center"/>
              <w:rPr>
                <w:rFonts w:ascii="Times New Roman" w:hAnsi="Times New Roman"/>
                <w:bCs/>
                <w:iCs/>
                <w:sz w:val="20"/>
                <w:szCs w:val="24"/>
                <w:lang w:val="es-PE"/>
              </w:rPr>
            </w:pPr>
            <w:r w:rsidRPr="00EF07E6">
              <w:rPr>
                <w:rFonts w:ascii="Times New Roman" w:hAnsi="Times New Roman"/>
                <w:bCs/>
                <w:iCs/>
                <w:sz w:val="20"/>
                <w:szCs w:val="24"/>
                <w:lang w:val="es-PE"/>
              </w:rPr>
              <w:t>0.0036&lt; 0.05   12.153ºGA</w:t>
            </w:r>
          </w:p>
          <w:p w:rsidR="00EF07E6" w:rsidRPr="00EF07E6" w:rsidRDefault="00EF07E6" w:rsidP="00EF07E6">
            <w:pPr>
              <w:spacing w:after="0" w:line="240" w:lineRule="auto"/>
              <w:jc w:val="center"/>
              <w:rPr>
                <w:rFonts w:ascii="Times New Roman" w:hAnsi="Times New Roman"/>
                <w:sz w:val="20"/>
                <w:szCs w:val="24"/>
              </w:rPr>
            </w:pPr>
            <w:r w:rsidRPr="00EF07E6">
              <w:rPr>
                <w:rFonts w:ascii="Times New Roman" w:hAnsi="Times New Roman"/>
                <w:bCs/>
                <w:iCs/>
                <w:sz w:val="20"/>
                <w:szCs w:val="24"/>
                <w:lang w:val="es-PE"/>
              </w:rPr>
              <w:t>0.010  &lt; 0.05</w:t>
            </w:r>
          </w:p>
        </w:tc>
        <w:tc>
          <w:tcPr>
            <w:tcW w:w="2977" w:type="dxa"/>
            <w:vAlign w:val="center"/>
          </w:tcPr>
          <w:p w:rsidR="00EF07E6" w:rsidRPr="00EF07E6" w:rsidRDefault="00EF07E6" w:rsidP="00EF07E6">
            <w:pPr>
              <w:spacing w:after="0" w:line="240" w:lineRule="auto"/>
              <w:jc w:val="center"/>
              <w:rPr>
                <w:rFonts w:ascii="Times New Roman" w:hAnsi="Times New Roman"/>
                <w:sz w:val="20"/>
                <w:szCs w:val="24"/>
              </w:rPr>
            </w:pPr>
            <w:r w:rsidRPr="00EF07E6">
              <w:rPr>
                <w:rFonts w:ascii="Times New Roman" w:hAnsi="Times New Roman"/>
                <w:bCs/>
                <w:iCs/>
                <w:sz w:val="20"/>
                <w:szCs w:val="24"/>
                <w:lang w:val="es-PE"/>
              </w:rPr>
              <w:t>Hay  influencia  sig.</w:t>
            </w:r>
          </w:p>
        </w:tc>
      </w:tr>
      <w:tr w:rsidR="00EF07E6" w:rsidRPr="00EF07E6" w:rsidTr="00EF07E6">
        <w:trPr>
          <w:jc w:val="center"/>
        </w:trPr>
        <w:tc>
          <w:tcPr>
            <w:tcW w:w="2336" w:type="dxa"/>
            <w:vAlign w:val="center"/>
          </w:tcPr>
          <w:p w:rsidR="00EF07E6" w:rsidRPr="00EF07E6" w:rsidRDefault="00EF07E6" w:rsidP="00EF07E6">
            <w:pPr>
              <w:spacing w:after="0" w:line="240" w:lineRule="auto"/>
              <w:jc w:val="center"/>
              <w:rPr>
                <w:rFonts w:ascii="Times New Roman" w:hAnsi="Times New Roman"/>
                <w:sz w:val="20"/>
                <w:szCs w:val="24"/>
              </w:rPr>
            </w:pPr>
            <w:r w:rsidRPr="00EF07E6">
              <w:rPr>
                <w:rFonts w:ascii="Times New Roman" w:hAnsi="Times New Roman"/>
                <w:b/>
                <w:bCs/>
                <w:iCs/>
                <w:sz w:val="20"/>
                <w:szCs w:val="24"/>
                <w:lang w:val="es-PE"/>
              </w:rPr>
              <w:t>Brix/Nut/pHf</w:t>
            </w:r>
          </w:p>
        </w:tc>
        <w:tc>
          <w:tcPr>
            <w:tcW w:w="2713" w:type="dxa"/>
            <w:vAlign w:val="center"/>
          </w:tcPr>
          <w:p w:rsidR="00EF07E6" w:rsidRPr="00EF07E6" w:rsidRDefault="00EF07E6" w:rsidP="00EF07E6">
            <w:pPr>
              <w:spacing w:after="0" w:line="240" w:lineRule="auto"/>
              <w:jc w:val="center"/>
              <w:rPr>
                <w:rFonts w:ascii="Times New Roman" w:hAnsi="Times New Roman"/>
                <w:bCs/>
                <w:iCs/>
                <w:sz w:val="20"/>
                <w:szCs w:val="24"/>
                <w:lang w:val="es-PE"/>
              </w:rPr>
            </w:pPr>
            <w:r w:rsidRPr="00EF07E6">
              <w:rPr>
                <w:rFonts w:ascii="Times New Roman" w:hAnsi="Times New Roman"/>
                <w:bCs/>
                <w:iCs/>
                <w:sz w:val="20"/>
                <w:szCs w:val="24"/>
                <w:lang w:val="es-PE"/>
              </w:rPr>
              <w:t>0.015  &lt;  0.05   3.65</w:t>
            </w:r>
          </w:p>
          <w:p w:rsidR="00EF07E6" w:rsidRPr="00EF07E6" w:rsidRDefault="00EF07E6" w:rsidP="00EF07E6">
            <w:pPr>
              <w:spacing w:after="0" w:line="240" w:lineRule="auto"/>
              <w:jc w:val="center"/>
              <w:rPr>
                <w:rFonts w:ascii="Times New Roman" w:hAnsi="Times New Roman"/>
                <w:sz w:val="20"/>
                <w:szCs w:val="24"/>
              </w:rPr>
            </w:pPr>
            <w:r w:rsidRPr="00EF07E6">
              <w:rPr>
                <w:rFonts w:ascii="Times New Roman" w:hAnsi="Times New Roman"/>
                <w:bCs/>
                <w:iCs/>
                <w:sz w:val="20"/>
                <w:szCs w:val="24"/>
                <w:lang w:val="es-PE"/>
              </w:rPr>
              <w:t>0.36   &gt; 0.05</w:t>
            </w:r>
          </w:p>
        </w:tc>
        <w:tc>
          <w:tcPr>
            <w:tcW w:w="2977" w:type="dxa"/>
            <w:vAlign w:val="center"/>
          </w:tcPr>
          <w:p w:rsidR="00EF07E6" w:rsidRPr="00EF07E6" w:rsidRDefault="00EF07E6" w:rsidP="00EF07E6">
            <w:pPr>
              <w:spacing w:after="0" w:line="240" w:lineRule="auto"/>
              <w:jc w:val="center"/>
              <w:rPr>
                <w:rFonts w:ascii="Times New Roman" w:hAnsi="Times New Roman"/>
                <w:sz w:val="20"/>
                <w:szCs w:val="24"/>
              </w:rPr>
            </w:pPr>
            <w:r w:rsidRPr="00EF07E6">
              <w:rPr>
                <w:rFonts w:ascii="Times New Roman" w:hAnsi="Times New Roman"/>
                <w:bCs/>
                <w:iCs/>
                <w:sz w:val="20"/>
                <w:szCs w:val="24"/>
                <w:lang w:val="es-PE"/>
              </w:rPr>
              <w:t>No h</w:t>
            </w:r>
            <w:r w:rsidRPr="00EF07E6">
              <w:rPr>
                <w:rFonts w:ascii="Times New Roman" w:hAnsi="Times New Roman"/>
                <w:bCs/>
                <w:iCs/>
                <w:sz w:val="20"/>
                <w:szCs w:val="24"/>
                <w:lang w:val="es-PE"/>
              </w:rPr>
              <w:t>ay  influencia  sig.</w:t>
            </w:r>
          </w:p>
        </w:tc>
      </w:tr>
      <w:tr w:rsidR="00EF07E6" w:rsidRPr="00EF07E6" w:rsidTr="00EF07E6">
        <w:trPr>
          <w:jc w:val="center"/>
        </w:trPr>
        <w:tc>
          <w:tcPr>
            <w:tcW w:w="2336" w:type="dxa"/>
            <w:vAlign w:val="center"/>
          </w:tcPr>
          <w:p w:rsidR="00EF07E6" w:rsidRPr="00EF07E6" w:rsidRDefault="00EF07E6" w:rsidP="00EF07E6">
            <w:pPr>
              <w:spacing w:after="0" w:line="240" w:lineRule="auto"/>
              <w:jc w:val="center"/>
              <w:rPr>
                <w:rFonts w:ascii="Times New Roman" w:hAnsi="Times New Roman"/>
                <w:sz w:val="20"/>
                <w:szCs w:val="24"/>
              </w:rPr>
            </w:pPr>
            <w:r w:rsidRPr="00EF07E6">
              <w:rPr>
                <w:rFonts w:ascii="Times New Roman" w:hAnsi="Times New Roman"/>
                <w:b/>
                <w:bCs/>
                <w:iCs/>
                <w:sz w:val="20"/>
                <w:szCs w:val="24"/>
                <w:lang w:val="es-PE"/>
              </w:rPr>
              <w:t>Brix,Nut/DF</w:t>
            </w:r>
          </w:p>
        </w:tc>
        <w:tc>
          <w:tcPr>
            <w:tcW w:w="2713" w:type="dxa"/>
            <w:vAlign w:val="center"/>
          </w:tcPr>
          <w:p w:rsidR="00EF07E6" w:rsidRPr="00EF07E6" w:rsidRDefault="00EF07E6" w:rsidP="00EF07E6">
            <w:pPr>
              <w:spacing w:after="0" w:line="240" w:lineRule="auto"/>
              <w:jc w:val="center"/>
              <w:rPr>
                <w:rFonts w:ascii="Times New Roman" w:hAnsi="Times New Roman"/>
                <w:sz w:val="20"/>
                <w:szCs w:val="24"/>
              </w:rPr>
            </w:pPr>
            <w:r w:rsidRPr="00EF07E6">
              <w:rPr>
                <w:rFonts w:ascii="Times New Roman" w:hAnsi="Times New Roman"/>
                <w:bCs/>
                <w:iCs/>
                <w:sz w:val="20"/>
                <w:szCs w:val="24"/>
                <w:lang w:val="es-PE"/>
              </w:rPr>
              <w:t>0.0002&lt; 0.05    9.53</w:t>
            </w:r>
          </w:p>
        </w:tc>
        <w:tc>
          <w:tcPr>
            <w:tcW w:w="2977" w:type="dxa"/>
            <w:vAlign w:val="center"/>
          </w:tcPr>
          <w:p w:rsidR="00EF07E6" w:rsidRPr="00EF07E6" w:rsidRDefault="00EF07E6" w:rsidP="00EF07E6">
            <w:pPr>
              <w:spacing w:after="0" w:line="240" w:lineRule="auto"/>
              <w:jc w:val="center"/>
              <w:rPr>
                <w:rFonts w:ascii="Times New Roman" w:hAnsi="Times New Roman"/>
                <w:sz w:val="20"/>
                <w:szCs w:val="24"/>
              </w:rPr>
            </w:pPr>
            <w:r w:rsidRPr="00EF07E6">
              <w:rPr>
                <w:rFonts w:ascii="Times New Roman" w:hAnsi="Times New Roman"/>
                <w:bCs/>
                <w:iCs/>
                <w:sz w:val="20"/>
                <w:szCs w:val="24"/>
                <w:lang w:val="es-PE"/>
              </w:rPr>
              <w:t>Hay  influencia  sig.</w:t>
            </w:r>
          </w:p>
        </w:tc>
      </w:tr>
    </w:tbl>
    <w:p w:rsidR="00FD3AE3" w:rsidRPr="00FD3AE3" w:rsidRDefault="00FD3AE3" w:rsidP="00FD3AE3">
      <w:pPr>
        <w:spacing w:after="0" w:line="360" w:lineRule="auto"/>
        <w:jc w:val="both"/>
        <w:rPr>
          <w:rFonts w:ascii="Times New Roman" w:hAnsi="Times New Roman"/>
          <w:sz w:val="24"/>
          <w:szCs w:val="24"/>
        </w:rPr>
      </w:pPr>
    </w:p>
    <w:p w:rsidR="00EF07E6" w:rsidRDefault="00F672F0" w:rsidP="00EF07E6">
      <w:pPr>
        <w:spacing w:after="0" w:line="276" w:lineRule="auto"/>
        <w:jc w:val="center"/>
        <w:rPr>
          <w:rFonts w:ascii="Times New Roman" w:hAnsi="Times New Roman"/>
          <w:sz w:val="24"/>
          <w:szCs w:val="24"/>
        </w:rPr>
      </w:pPr>
      <w:r>
        <w:rPr>
          <w:rFonts w:ascii="Times New Roman" w:hAnsi="Times New Roman"/>
          <w:noProof/>
          <w:sz w:val="24"/>
          <w:szCs w:val="24"/>
          <w:lang w:eastAsia="es-EC"/>
        </w:rPr>
        <w:drawing>
          <wp:anchor distT="0" distB="0" distL="114300" distR="114300" simplePos="0" relativeHeight="251667968" behindDoc="0" locked="0" layoutInCell="1" allowOverlap="1">
            <wp:simplePos x="0" y="0"/>
            <wp:positionH relativeFrom="column">
              <wp:posOffset>608965</wp:posOffset>
            </wp:positionH>
            <wp:positionV relativeFrom="paragraph">
              <wp:posOffset>321945</wp:posOffset>
            </wp:positionV>
            <wp:extent cx="5071110" cy="3391535"/>
            <wp:effectExtent l="0" t="0" r="0" b="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3499B0.tmp"/>
                    <pic:cNvPicPr/>
                  </pic:nvPicPr>
                  <pic:blipFill>
                    <a:blip r:embed="rId19">
                      <a:extLst>
                        <a:ext uri="{28A0092B-C50C-407E-A947-70E740481C1C}">
                          <a14:useLocalDpi xmlns:a14="http://schemas.microsoft.com/office/drawing/2010/main" val="0"/>
                        </a:ext>
                      </a:extLst>
                    </a:blip>
                    <a:stretch>
                      <a:fillRect/>
                    </a:stretch>
                  </pic:blipFill>
                  <pic:spPr>
                    <a:xfrm>
                      <a:off x="0" y="0"/>
                      <a:ext cx="5071110" cy="3391535"/>
                    </a:xfrm>
                    <a:prstGeom prst="rect">
                      <a:avLst/>
                    </a:prstGeom>
                  </pic:spPr>
                </pic:pic>
              </a:graphicData>
            </a:graphic>
            <wp14:sizeRelH relativeFrom="margin">
              <wp14:pctWidth>0</wp14:pctWidth>
            </wp14:sizeRelH>
            <wp14:sizeRelV relativeFrom="margin">
              <wp14:pctHeight>0</wp14:pctHeight>
            </wp14:sizeRelV>
          </wp:anchor>
        </w:drawing>
      </w:r>
      <w:r w:rsidR="00EB38BF" w:rsidRPr="00EB38BF">
        <w:rPr>
          <w:rFonts w:ascii="Times New Roman" w:hAnsi="Times New Roman"/>
          <w:b/>
          <w:sz w:val="20"/>
          <w:szCs w:val="24"/>
        </w:rPr>
        <w:t>Figura 5:</w:t>
      </w:r>
      <w:r w:rsidR="00FD3AE3" w:rsidRPr="00EB38BF">
        <w:rPr>
          <w:rFonts w:ascii="Times New Roman" w:hAnsi="Times New Roman"/>
          <w:sz w:val="20"/>
          <w:szCs w:val="24"/>
        </w:rPr>
        <w:t xml:space="preserve"> Superficie respuesta   del modelo estimado para las variables dependientes ºBrix, nutrientes    y duración de la fermentación.</w:t>
      </w:r>
      <w:r w:rsidR="00FD3AE3" w:rsidRPr="00FD3AE3">
        <w:rPr>
          <w:rFonts w:ascii="Times New Roman" w:hAnsi="Times New Roman"/>
          <w:sz w:val="24"/>
          <w:szCs w:val="24"/>
        </w:rPr>
        <w:t xml:space="preserve"> </w:t>
      </w:r>
    </w:p>
    <w:p w:rsidR="00FD3AE3" w:rsidRPr="00FD3AE3" w:rsidRDefault="00FD3AE3" w:rsidP="00EF07E6">
      <w:pPr>
        <w:spacing w:after="0" w:line="276" w:lineRule="auto"/>
        <w:jc w:val="center"/>
        <w:rPr>
          <w:rFonts w:ascii="Times New Roman" w:hAnsi="Times New Roman"/>
          <w:sz w:val="24"/>
          <w:szCs w:val="24"/>
        </w:rPr>
      </w:pPr>
    </w:p>
    <w:p w:rsidR="00FD3AE3" w:rsidRPr="00EB38BF" w:rsidRDefault="00F672F0" w:rsidP="00F672F0">
      <w:pPr>
        <w:spacing w:after="0" w:line="240" w:lineRule="auto"/>
        <w:jc w:val="center"/>
        <w:rPr>
          <w:rFonts w:ascii="Times New Roman" w:hAnsi="Times New Roman"/>
          <w:sz w:val="20"/>
          <w:szCs w:val="24"/>
        </w:rPr>
      </w:pPr>
      <w:r>
        <w:rPr>
          <w:rFonts w:ascii="Times New Roman" w:hAnsi="Times New Roman"/>
          <w:noProof/>
          <w:sz w:val="24"/>
          <w:szCs w:val="24"/>
          <w:lang w:eastAsia="es-EC"/>
        </w:rPr>
        <w:drawing>
          <wp:anchor distT="0" distB="0" distL="114300" distR="114300" simplePos="0" relativeHeight="251668992" behindDoc="0" locked="0" layoutInCell="1" allowOverlap="1">
            <wp:simplePos x="0" y="0"/>
            <wp:positionH relativeFrom="column">
              <wp:posOffset>746760</wp:posOffset>
            </wp:positionH>
            <wp:positionV relativeFrom="paragraph">
              <wp:posOffset>309245</wp:posOffset>
            </wp:positionV>
            <wp:extent cx="4986655" cy="3497580"/>
            <wp:effectExtent l="0" t="0" r="4445" b="762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345224.tmp"/>
                    <pic:cNvPicPr/>
                  </pic:nvPicPr>
                  <pic:blipFill>
                    <a:blip r:embed="rId20">
                      <a:extLst>
                        <a:ext uri="{28A0092B-C50C-407E-A947-70E740481C1C}">
                          <a14:useLocalDpi xmlns:a14="http://schemas.microsoft.com/office/drawing/2010/main" val="0"/>
                        </a:ext>
                      </a:extLst>
                    </a:blip>
                    <a:stretch>
                      <a:fillRect/>
                    </a:stretch>
                  </pic:blipFill>
                  <pic:spPr>
                    <a:xfrm>
                      <a:off x="0" y="0"/>
                      <a:ext cx="4986655" cy="3497580"/>
                    </a:xfrm>
                    <a:prstGeom prst="rect">
                      <a:avLst/>
                    </a:prstGeom>
                  </pic:spPr>
                </pic:pic>
              </a:graphicData>
            </a:graphic>
            <wp14:sizeRelH relativeFrom="margin">
              <wp14:pctWidth>0</wp14:pctWidth>
            </wp14:sizeRelH>
            <wp14:sizeRelV relativeFrom="margin">
              <wp14:pctHeight>0</wp14:pctHeight>
            </wp14:sizeRelV>
          </wp:anchor>
        </w:drawing>
      </w:r>
      <w:r w:rsidR="00EB38BF" w:rsidRPr="00EB38BF">
        <w:rPr>
          <w:rFonts w:ascii="Times New Roman" w:hAnsi="Times New Roman"/>
          <w:b/>
          <w:sz w:val="20"/>
          <w:szCs w:val="24"/>
        </w:rPr>
        <w:t>Figura 6:</w:t>
      </w:r>
      <w:r w:rsidR="00FD3AE3" w:rsidRPr="00EB38BF">
        <w:rPr>
          <w:rFonts w:ascii="Times New Roman" w:hAnsi="Times New Roman"/>
          <w:sz w:val="20"/>
          <w:szCs w:val="24"/>
        </w:rPr>
        <w:t xml:space="preserve"> Superficie respuesta    y los valores aproximados de grado alcohólico a maximizar tridimensionalmente   en función a la combinación de ºBrix y nutriente.</w:t>
      </w:r>
    </w:p>
    <w:p w:rsidR="00FD3AE3" w:rsidRPr="00FD3AE3" w:rsidRDefault="00FD3AE3" w:rsidP="00FD3AE3">
      <w:pPr>
        <w:spacing w:after="0" w:line="360" w:lineRule="auto"/>
        <w:jc w:val="both"/>
        <w:rPr>
          <w:rFonts w:ascii="Times New Roman" w:hAnsi="Times New Roman"/>
          <w:sz w:val="24"/>
          <w:szCs w:val="24"/>
        </w:rPr>
      </w:pPr>
    </w:p>
    <w:p w:rsidR="00EF07E6" w:rsidRDefault="00EF07E6" w:rsidP="00EF07E6">
      <w:pPr>
        <w:spacing w:after="0" w:line="276" w:lineRule="auto"/>
        <w:jc w:val="center"/>
        <w:rPr>
          <w:rFonts w:ascii="Times New Roman" w:hAnsi="Times New Roman"/>
          <w:b/>
          <w:sz w:val="20"/>
          <w:szCs w:val="24"/>
        </w:rPr>
      </w:pPr>
    </w:p>
    <w:p w:rsidR="00FD3AE3" w:rsidRPr="00EB38BF" w:rsidRDefault="00EF07E6" w:rsidP="00EF07E6">
      <w:pPr>
        <w:spacing w:after="0" w:line="276" w:lineRule="auto"/>
        <w:jc w:val="center"/>
        <w:rPr>
          <w:rFonts w:ascii="Times New Roman" w:hAnsi="Times New Roman"/>
          <w:sz w:val="20"/>
          <w:szCs w:val="24"/>
        </w:rPr>
      </w:pPr>
      <w:r w:rsidRPr="009D1D63">
        <w:rPr>
          <w:rFonts w:ascii="Garamont" w:hAnsi="Garamont"/>
          <w:noProof/>
          <w:sz w:val="24"/>
          <w:szCs w:val="24"/>
          <w:lang w:eastAsia="es-EC"/>
        </w:rPr>
        <w:drawing>
          <wp:anchor distT="0" distB="0" distL="114300" distR="114300" simplePos="0" relativeHeight="251664896" behindDoc="0" locked="0" layoutInCell="1" allowOverlap="1">
            <wp:simplePos x="0" y="0"/>
            <wp:positionH relativeFrom="column">
              <wp:posOffset>683260</wp:posOffset>
            </wp:positionH>
            <wp:positionV relativeFrom="paragraph">
              <wp:posOffset>162560</wp:posOffset>
            </wp:positionV>
            <wp:extent cx="4996815" cy="1711325"/>
            <wp:effectExtent l="0" t="0" r="13335" b="3175"/>
            <wp:wrapTopAndBottom/>
            <wp:docPr id="19" name="Gráfico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5B1F0B-F720-420A-AF75-0775F35603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r w:rsidR="00FD3AE3" w:rsidRPr="00EB38BF">
        <w:rPr>
          <w:rFonts w:ascii="Times New Roman" w:hAnsi="Times New Roman"/>
          <w:b/>
          <w:sz w:val="20"/>
          <w:szCs w:val="24"/>
        </w:rPr>
        <w:t>Figura 7</w:t>
      </w:r>
      <w:r w:rsidR="00EB38BF" w:rsidRPr="00EB38BF">
        <w:rPr>
          <w:rFonts w:ascii="Times New Roman" w:hAnsi="Times New Roman"/>
          <w:b/>
          <w:sz w:val="20"/>
          <w:szCs w:val="24"/>
        </w:rPr>
        <w:t>:</w:t>
      </w:r>
      <w:r w:rsidR="00FD3AE3" w:rsidRPr="00EB38BF">
        <w:rPr>
          <w:rFonts w:ascii="Times New Roman" w:hAnsi="Times New Roman"/>
          <w:sz w:val="20"/>
          <w:szCs w:val="24"/>
        </w:rPr>
        <w:t xml:space="preserve">  Variación del  pH final  de cada tratamiento  versus  Tratamientos del DCCR</w:t>
      </w:r>
    </w:p>
    <w:p w:rsidR="00EB38BF" w:rsidRDefault="00EB38BF" w:rsidP="00EF07E6">
      <w:pPr>
        <w:spacing w:after="0" w:line="276" w:lineRule="auto"/>
        <w:jc w:val="both"/>
        <w:rPr>
          <w:rFonts w:ascii="Times New Roman" w:hAnsi="Times New Roman"/>
          <w:sz w:val="24"/>
          <w:szCs w:val="24"/>
        </w:rPr>
      </w:pPr>
    </w:p>
    <w:p w:rsidR="00FD3AE3" w:rsidRPr="00EF07E6" w:rsidRDefault="00EF07E6" w:rsidP="00EF07E6">
      <w:pPr>
        <w:spacing w:after="0" w:line="360" w:lineRule="auto"/>
        <w:jc w:val="both"/>
        <w:rPr>
          <w:rFonts w:ascii="Times New Roman" w:hAnsi="Times New Roman"/>
          <w:b/>
          <w:sz w:val="26"/>
          <w:szCs w:val="26"/>
        </w:rPr>
      </w:pPr>
      <w:r w:rsidRPr="00EF07E6">
        <w:rPr>
          <w:rFonts w:ascii="Times New Roman" w:hAnsi="Times New Roman"/>
          <w:b/>
          <w:sz w:val="26"/>
          <w:szCs w:val="26"/>
        </w:rPr>
        <w:t xml:space="preserve">Discusiones </w:t>
      </w:r>
    </w:p>
    <w:p w:rsidR="00FD3AE3" w:rsidRPr="00FD3AE3" w:rsidRDefault="00FD3AE3" w:rsidP="00FD3AE3">
      <w:pPr>
        <w:spacing w:after="0" w:line="360" w:lineRule="auto"/>
        <w:jc w:val="both"/>
        <w:rPr>
          <w:rFonts w:ascii="Times New Roman" w:hAnsi="Times New Roman"/>
          <w:sz w:val="24"/>
          <w:szCs w:val="24"/>
        </w:rPr>
      </w:pPr>
      <w:r w:rsidRPr="00FD3AE3">
        <w:rPr>
          <w:rFonts w:ascii="Times New Roman" w:hAnsi="Times New Roman"/>
          <w:sz w:val="24"/>
          <w:szCs w:val="24"/>
        </w:rPr>
        <w:t xml:space="preserve">Influencia   de la concentración de nutrientes y la concentración de azucares   en la maceración fermentativa. </w:t>
      </w:r>
    </w:p>
    <w:p w:rsidR="00FD3AE3" w:rsidRPr="00FD3AE3" w:rsidRDefault="00FD3AE3" w:rsidP="00FD3AE3">
      <w:pPr>
        <w:spacing w:after="0" w:line="360" w:lineRule="auto"/>
        <w:jc w:val="both"/>
        <w:rPr>
          <w:rFonts w:ascii="Times New Roman" w:hAnsi="Times New Roman"/>
          <w:sz w:val="24"/>
          <w:szCs w:val="24"/>
        </w:rPr>
      </w:pPr>
      <w:r w:rsidRPr="00FD3AE3">
        <w:rPr>
          <w:rFonts w:ascii="Times New Roman" w:hAnsi="Times New Roman"/>
          <w:sz w:val="24"/>
          <w:szCs w:val="24"/>
        </w:rPr>
        <w:t xml:space="preserve"> La Figura 1 muestra  el sistema de fermentación empleado  para determinar la  influencia de la combinación de nutriente  y azúcares  de los  tratamientos de DCCR.    Las  tablas  1,2,3 muestran la serie de resultados de 11 tratamientos   que se  realizaron para optimizar la   combinación de azucares (18 a 28 ºBrix) y nutriente V ACTIV (10 a 40 g/hl) de mosto de la dilución  1:3 ( v. independientes), las variables dependientes se   agruparon en dos categorías:  de seguimiento:  variación de pH y variación de   azucares y  variables  dependientes  de control final: grado alcohólico final (ºGAF), pH final y  duración de la fermentación (DF)  se muestra  en la Tabla 4  y  figuras 2 y 3, se observo que  el T 6  tuvo 12.6 ºGAF y 10 días de DF, por lo que el  mayor % de azúcar  y una moderada cantidad de V ACTIV  influye en el mayor ºGAF  y en la DF, a mayor ºGA mayor extracción de polifenoles, en la figura 2  se observa que todos los tratamientos tuvieron  un pH  dentro del rango establecido  por la Norma Técnica Nacional  para vinos tintos entre 3.3 y 3.6 y que cuanto mas bajo es el pH  de arranque de la fermentación es mas corta la duración de la fermentación, un exceso de nutriente  disminuye  el tiempo de la fermentación   y sirve de amortiguador  para que no baje el pH  a valores indeseables.  Falcón, Toscano y Rosales (2016),  reportaron cambios drásticos de pH en una maceración  fermentativa  cuando no se usa nutriente.   La cantidad y calidad del  nutriente   protege a las levaduras de la temperatura baja (17ºC que fue la temperatura a la que se realizó la  experimentación). La DF se ve influenciada por el pH  y la calidad-cantidad del nutriente adicionado.  Acosta  (2012),  utilizó  como único nutriente  fosfato de amonio   en dosis de 40 g/hl de mosto, temperatura  de 25ºC,  sin pie de cuba,  uso  20 g de levadura y tres días   de rehidratación a 30ºC, tuvo una DF  de 16 días y 9.5ºGAF  no empleo   V ACTIV , empleo fosfato de amonio  ( solo aporta proteina  como nitrógeno como único nutriente, sus  resultados no fueron  adecuados,  lo cual ratifica que la calidad  y cantidad del nutriente, el empleo de  pie de cuba  influyen en el ºGAF.  Poma (2016) hallo 5 días de DF  tiempo insuficiente para extraer  polifenoles , uso 25ºC, pH 3.5 que acelero la DF y no consiguió agotar los ºBrix.   La mayor extracción de polifenoles se da a mayor concentración de alcohol  en la maceración fermentativa  (Galán 2018).  La mayor extracción de polifenoles  en la maceración fermentativa  ocurre a los 10 días  por que los principios activos, compuestos aromáticos  de los hollejos y pepitas pasan al mosto (Códax 2016). La maceración fermentativa sin nutriente o con dosis bajas de nutriente, alta temperatura,  sin pie de cuba  no llegan a agotar los ºBrix  y obtiene bajo grado alcohólico (Poma, 2016).</w:t>
      </w:r>
    </w:p>
    <w:p w:rsidR="00FD3AE3" w:rsidRPr="00FD3AE3" w:rsidRDefault="00FD3AE3" w:rsidP="00FD3AE3">
      <w:pPr>
        <w:spacing w:after="0" w:line="360" w:lineRule="auto"/>
        <w:jc w:val="both"/>
        <w:rPr>
          <w:rFonts w:ascii="Times New Roman" w:hAnsi="Times New Roman"/>
          <w:sz w:val="24"/>
          <w:szCs w:val="24"/>
        </w:rPr>
      </w:pPr>
      <w:r w:rsidRPr="00FD3AE3">
        <w:rPr>
          <w:rFonts w:ascii="Times New Roman" w:hAnsi="Times New Roman"/>
          <w:sz w:val="24"/>
          <w:szCs w:val="24"/>
        </w:rPr>
        <w:t xml:space="preserve">La tabla 5 muestra los  Tratamientos del DCCR, Factores, Variables  independientes y dependientes, grado alcohólico final, duración de la fermentación y pH final,  muestra  los tratamientos del diseño experimental seguido, se aprecia  que para cada tratamiento   (1 al 11 ) el diseño experimental  fue  de acuerdo a la  combinación de los  azucares y concentración del nutriente,   se aprecia que la duración de la fermentación    para los diferentes tratamientos  vario entre  6 y 10 días, siendo el tratamiento 6  el que  alcanzo  el mayor tiempo de duración de la fermentación,   la evaluación del diseño estadistico utilizó     la metodología de superficie respuesta  a través   un análisis  de varianza  para cada  variable dependiente de control final, empleando el paquete  statistica 13.3, los resultados (Tabla 6)  presentan  un resumen  del ANOVA  para el grado alcohólico  final, duración de la fermentación e  indican  una  influencia significativa     del ºBrix y Nutriente  para el  Grado alcohólicos y Duración de la fermentación,  para las variables  Brix, Nutriente  y grado alcohólico  en relación a la duración de la fermentación,   en la figura 5   se muestra la superficie  respuesta   brix, nutriente  y duración dela fermentación, con su respectiva  ecuación ,  el valor de p 0.0036 &lt; 0.05 y el valor predicho  de 12.53  para el grado alcohólico  indica que hay  influencia  significativa con el  95% de confianza.  Para  el   pH    el ANOVA  indica  que  no hay influencia significativa del Brix    /nutriente y pH final   (Figura 6 ), el  valor de p  0.015  &lt; de 0.05  y el valor predicho de  3.65  indica  que no hay influencia significativa del pH  a un 95% de  de confinza     La figura 7   muestra la variación del pH versus tratamientos del DCCR, se observa que  los rangos del pH final  están dentro del rango  que establece la Norma Técnica Nacional para vino tinto 212.014  (3.3 y 3.8 )  existiendo mínima variación, que demuestra la no influencia significativa del ªBrix en  el pH final ,   el nutriente  V ACTIV  protege los cambios drásticos de pH,  de la baja temperatura,  sirve de amortiguador  y ayuda al metabolismo  y crecimiento de la levadura por su aporte proteico, vitaminas y  minerales. . Acosta (2012), reportó que   realizó la evaluación de la fermentación alcohólica de un mosto de miel de abeja, uso como  nutriente fosfato de amonio en dosis de 80, 40, 0  mg por litro de mosto a  17,  19 , 22 ºBrix, y tres tipos de levadura  no  empleo pie de cuba,   uso una dosis  de 0.3 g/l   de  levadura/l de mosto, en sus resultados al comparar la fermentación con la levadura Saccharomyces cerevisiae  variedad bayanus   semejante a la usada  en la investigación  encontró  que  la muestra sin nutriente alcanzo el más bajo nivel   de alcohol y que dosis bajas de  nutriente (4-8 g/litro) generan poco  alcohol lo cual ratifica que  el nutriente es necesario  para  la actividad de la levadura, pero un exceso  puede  inhibir el crecimiento microbiano por aumento de la presión osmótica y sales, generando  menor grado alcohólico, lo cual es compatible con los resultados de la investigación  con la misma levadura. En el caso del consumo de sólidos solubles  encontró que a menor  ºBrix del mosto  mayor  grado alcohólico lo cual difiere de la investigación dado que se encontró   mayor grado alcohólico a la mayor concentración de azucares, se podría explicar debido al efecto amortiguador del nutriente   V  ACTIV de la investigación    que da protección  a las levaduras    de la baja temperatura y la menor concentración de nutriente ( O.25 g/l) y  su composición no solo en fuente proteica, si  no que a la vez le aporta vitaminas, sustancias polifenólicos, antocianos   y otros,  propias  de la  composición de la pasta del capulí a pesar de la diferencias de temperatura  17ºC frente a 25ºC reportados por Acosta, (2018).      </w:t>
      </w:r>
    </w:p>
    <w:p w:rsidR="00FD3AE3" w:rsidRPr="00FD3AE3" w:rsidRDefault="00FD3AE3" w:rsidP="00FD3AE3">
      <w:pPr>
        <w:spacing w:after="0" w:line="360" w:lineRule="auto"/>
        <w:jc w:val="both"/>
        <w:rPr>
          <w:rFonts w:ascii="Times New Roman" w:hAnsi="Times New Roman"/>
          <w:sz w:val="24"/>
          <w:szCs w:val="24"/>
        </w:rPr>
      </w:pPr>
    </w:p>
    <w:p w:rsidR="00FD3AE3" w:rsidRPr="00FD3AE3" w:rsidRDefault="00FD3AE3" w:rsidP="00FD3AE3">
      <w:pPr>
        <w:spacing w:after="0" w:line="360" w:lineRule="auto"/>
        <w:jc w:val="both"/>
        <w:rPr>
          <w:rFonts w:ascii="Times New Roman" w:hAnsi="Times New Roman"/>
          <w:b/>
          <w:sz w:val="26"/>
          <w:szCs w:val="26"/>
        </w:rPr>
      </w:pPr>
      <w:r w:rsidRPr="00FD3AE3">
        <w:rPr>
          <w:rFonts w:ascii="Times New Roman" w:hAnsi="Times New Roman"/>
          <w:b/>
          <w:sz w:val="26"/>
          <w:szCs w:val="26"/>
        </w:rPr>
        <w:t xml:space="preserve"> Conclusiones</w:t>
      </w:r>
    </w:p>
    <w:p w:rsidR="00FD3AE3" w:rsidRPr="00FD3AE3" w:rsidRDefault="00FD3AE3" w:rsidP="00FD3AE3">
      <w:pPr>
        <w:spacing w:after="0" w:line="360" w:lineRule="auto"/>
        <w:jc w:val="both"/>
        <w:rPr>
          <w:rFonts w:ascii="Times New Roman" w:hAnsi="Times New Roman"/>
          <w:sz w:val="24"/>
          <w:szCs w:val="24"/>
        </w:rPr>
      </w:pPr>
      <w:r w:rsidRPr="00FD3AE3">
        <w:rPr>
          <w:rFonts w:ascii="Times New Roman" w:hAnsi="Times New Roman"/>
          <w:sz w:val="24"/>
          <w:szCs w:val="24"/>
        </w:rPr>
        <w:t xml:space="preserve">La influencia de la concentración de azucares y concentración de nutriente tiene efecto directo en la duración de la maceración fermentativa, a mayor tiempo de fermentación mayor grado alcohólico. </w:t>
      </w:r>
    </w:p>
    <w:p w:rsidR="00FD3AE3" w:rsidRPr="00FD3AE3" w:rsidRDefault="00FD3AE3" w:rsidP="00FD3AE3">
      <w:pPr>
        <w:spacing w:after="0" w:line="360" w:lineRule="auto"/>
        <w:jc w:val="both"/>
        <w:rPr>
          <w:rFonts w:ascii="Times New Roman" w:hAnsi="Times New Roman"/>
          <w:sz w:val="24"/>
          <w:szCs w:val="24"/>
        </w:rPr>
      </w:pPr>
      <w:r w:rsidRPr="00FD3AE3">
        <w:rPr>
          <w:rFonts w:ascii="Times New Roman" w:hAnsi="Times New Roman"/>
          <w:sz w:val="24"/>
          <w:szCs w:val="24"/>
        </w:rPr>
        <w:t xml:space="preserve"> La calidad y concentración del nutriente influye en  la duración  de la fermentación. </w:t>
      </w:r>
    </w:p>
    <w:p w:rsidR="00FD3AE3" w:rsidRPr="00FD3AE3" w:rsidRDefault="00FD3AE3" w:rsidP="00FD3AE3">
      <w:pPr>
        <w:spacing w:after="0" w:line="360" w:lineRule="auto"/>
        <w:jc w:val="both"/>
        <w:rPr>
          <w:rFonts w:ascii="Times New Roman" w:hAnsi="Times New Roman"/>
          <w:sz w:val="24"/>
          <w:szCs w:val="24"/>
        </w:rPr>
      </w:pPr>
      <w:r w:rsidRPr="00FD3AE3">
        <w:rPr>
          <w:rFonts w:ascii="Times New Roman" w:hAnsi="Times New Roman"/>
          <w:sz w:val="24"/>
          <w:szCs w:val="24"/>
        </w:rPr>
        <w:t xml:space="preserve"> La temperatura influye en la duración de la fermentación,  a mayor temperatura menor duración de la fermentación.</w:t>
      </w:r>
    </w:p>
    <w:p w:rsidR="00C13A31" w:rsidRPr="007F38E3" w:rsidRDefault="00FD3AE3" w:rsidP="00FD3AE3">
      <w:pPr>
        <w:spacing w:after="0" w:line="360" w:lineRule="auto"/>
        <w:jc w:val="both"/>
        <w:rPr>
          <w:rFonts w:ascii="Times New Roman" w:hAnsi="Times New Roman"/>
          <w:szCs w:val="24"/>
        </w:rPr>
      </w:pPr>
      <w:r w:rsidRPr="00FD3AE3">
        <w:rPr>
          <w:rFonts w:ascii="Times New Roman" w:hAnsi="Times New Roman"/>
          <w:sz w:val="24"/>
          <w:szCs w:val="24"/>
        </w:rPr>
        <w:t xml:space="preserve">  La temperatura  externa  inferior a 20ºC   y la combinación de  azucares  ( 28%) y el pH  ( 3. 6) , empleo de pie de cuba  son   los parámetros adecuados  para  una duración de la fermentación de 10 días , dado se consiguió el mayor grado alcohólico</w:t>
      </w:r>
    </w:p>
    <w:p w:rsidR="00C36578" w:rsidRDefault="00C36578" w:rsidP="00E97FC3">
      <w:pPr>
        <w:spacing w:after="0" w:line="360" w:lineRule="auto"/>
        <w:jc w:val="both"/>
        <w:rPr>
          <w:rFonts w:ascii="Times New Roman" w:hAnsi="Times New Roman"/>
          <w:sz w:val="24"/>
          <w:szCs w:val="24"/>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FD3AE3" w:rsidRPr="00F672F0" w:rsidRDefault="00FD3AE3" w:rsidP="00FD3AE3">
      <w:pPr>
        <w:pStyle w:val="Prrafodelista"/>
        <w:numPr>
          <w:ilvl w:val="0"/>
          <w:numId w:val="41"/>
        </w:numPr>
        <w:spacing w:after="0" w:line="360" w:lineRule="auto"/>
        <w:ind w:right="1133" w:hanging="502"/>
        <w:jc w:val="both"/>
        <w:rPr>
          <w:rFonts w:ascii="Times New Roman" w:hAnsi="Times New Roman"/>
          <w:szCs w:val="23"/>
        </w:rPr>
      </w:pPr>
      <w:r w:rsidRPr="00F672F0">
        <w:rPr>
          <w:rFonts w:ascii="Times New Roman" w:hAnsi="Times New Roman"/>
          <w:szCs w:val="23"/>
        </w:rPr>
        <w:t>AOAC (Official Methods of Analysis) 2005. Washington. D.C., USA.</w:t>
      </w:r>
    </w:p>
    <w:p w:rsidR="00FD3AE3" w:rsidRPr="00F672F0" w:rsidRDefault="00FD3AE3" w:rsidP="005829A6">
      <w:pPr>
        <w:pStyle w:val="Prrafodelista"/>
        <w:numPr>
          <w:ilvl w:val="0"/>
          <w:numId w:val="41"/>
        </w:numPr>
        <w:spacing w:after="0" w:line="360" w:lineRule="auto"/>
        <w:ind w:right="1133" w:hanging="502"/>
        <w:jc w:val="both"/>
        <w:rPr>
          <w:rFonts w:ascii="Times New Roman" w:hAnsi="Times New Roman"/>
          <w:szCs w:val="23"/>
        </w:rPr>
      </w:pPr>
      <w:r w:rsidRPr="00F672F0">
        <w:rPr>
          <w:rFonts w:ascii="Times New Roman" w:hAnsi="Times New Roman"/>
          <w:szCs w:val="23"/>
        </w:rPr>
        <w:t>Acosta, Carolina. 2012. Evaluación de la fermentación alcohólica para la producción de  hidromiel. Tesis de magister. Universidad Nacional de Colombia.  Colombia.128 p. Codáx, M. (2016). Tipos de maceraciones.</w:t>
      </w:r>
    </w:p>
    <w:p w:rsidR="00FD3AE3" w:rsidRPr="00F672F0" w:rsidRDefault="00FD3AE3" w:rsidP="00FD3AE3">
      <w:pPr>
        <w:pStyle w:val="Prrafodelista"/>
        <w:numPr>
          <w:ilvl w:val="0"/>
          <w:numId w:val="41"/>
        </w:numPr>
        <w:spacing w:after="0" w:line="360" w:lineRule="auto"/>
        <w:ind w:right="1133" w:hanging="502"/>
        <w:jc w:val="both"/>
        <w:rPr>
          <w:rFonts w:ascii="Times New Roman" w:hAnsi="Times New Roman"/>
          <w:szCs w:val="23"/>
        </w:rPr>
      </w:pPr>
      <w:r w:rsidRPr="00F672F0">
        <w:rPr>
          <w:rFonts w:ascii="Times New Roman" w:hAnsi="Times New Roman"/>
          <w:szCs w:val="23"/>
        </w:rPr>
        <w:t xml:space="preserve"> http://www.cuatropasos.es/2016/09/01/tipos-de-maceraciones/</w:t>
      </w:r>
    </w:p>
    <w:p w:rsidR="00FD3AE3" w:rsidRPr="00F672F0" w:rsidRDefault="00FD3AE3" w:rsidP="005829A6">
      <w:pPr>
        <w:pStyle w:val="Prrafodelista"/>
        <w:numPr>
          <w:ilvl w:val="0"/>
          <w:numId w:val="41"/>
        </w:numPr>
        <w:spacing w:after="0" w:line="360" w:lineRule="auto"/>
        <w:ind w:right="1133" w:hanging="502"/>
        <w:jc w:val="both"/>
        <w:rPr>
          <w:rFonts w:ascii="Times New Roman" w:hAnsi="Times New Roman"/>
          <w:szCs w:val="23"/>
        </w:rPr>
      </w:pPr>
      <w:r w:rsidRPr="00F672F0">
        <w:rPr>
          <w:rFonts w:ascii="Times New Roman" w:hAnsi="Times New Roman"/>
          <w:szCs w:val="23"/>
        </w:rPr>
        <w:t>Falcón, Paula., Toscano, Alejandro y Rosales, Edith. 2016.  Efecto del tiempo de la maceración  prefermentiva      sobre   la capacidad antioxidante,  carotenos, vitamina c de una Bebida fermentada de  aguaymanto  (Physalis peruviana L.) al estado maduro.  Revista Aporte  Santiaguino. Universidad Nacional Santiago Antúnez de Mayolo.        Vol. 12 Núm. 2 (2019): Julio-diciembre. 186-189.</w:t>
      </w:r>
    </w:p>
    <w:p w:rsidR="00FD3AE3" w:rsidRPr="00F672F0" w:rsidRDefault="00FD3AE3" w:rsidP="00FD3AE3">
      <w:pPr>
        <w:pStyle w:val="Prrafodelista"/>
        <w:numPr>
          <w:ilvl w:val="0"/>
          <w:numId w:val="41"/>
        </w:numPr>
        <w:spacing w:after="0" w:line="360" w:lineRule="auto"/>
        <w:ind w:right="1133" w:hanging="502"/>
        <w:jc w:val="both"/>
        <w:rPr>
          <w:rFonts w:ascii="Times New Roman" w:hAnsi="Times New Roman"/>
          <w:szCs w:val="23"/>
        </w:rPr>
      </w:pPr>
      <w:r w:rsidRPr="00F672F0">
        <w:rPr>
          <w:rFonts w:ascii="Times New Roman" w:hAnsi="Times New Roman"/>
          <w:szCs w:val="23"/>
        </w:rPr>
        <w:t xml:space="preserve">Galán, María. 2018. Manejo de las maceraciones en la vinificación de tintos. Universidad de la Rioja. </w:t>
      </w:r>
    </w:p>
    <w:p w:rsidR="00FD3AE3" w:rsidRPr="00F672F0" w:rsidRDefault="00FD3AE3" w:rsidP="00FD3AE3">
      <w:pPr>
        <w:pStyle w:val="Prrafodelista"/>
        <w:numPr>
          <w:ilvl w:val="0"/>
          <w:numId w:val="41"/>
        </w:numPr>
        <w:spacing w:after="0" w:line="360" w:lineRule="auto"/>
        <w:ind w:right="1133" w:hanging="502"/>
        <w:jc w:val="both"/>
        <w:rPr>
          <w:rFonts w:ascii="Times New Roman" w:hAnsi="Times New Roman"/>
          <w:szCs w:val="23"/>
        </w:rPr>
      </w:pPr>
      <w:r w:rsidRPr="00F672F0">
        <w:rPr>
          <w:rFonts w:ascii="Times New Roman" w:hAnsi="Times New Roman"/>
          <w:szCs w:val="23"/>
        </w:rPr>
        <w:t>España. Trabajo de grado en Enología.      https://biblioteca.unirioja.es/tfe_e/TFE004220.pdf</w:t>
      </w:r>
    </w:p>
    <w:p w:rsidR="00FD3AE3" w:rsidRPr="00F672F0" w:rsidRDefault="00FD3AE3" w:rsidP="005829A6">
      <w:pPr>
        <w:pStyle w:val="Prrafodelista"/>
        <w:numPr>
          <w:ilvl w:val="0"/>
          <w:numId w:val="41"/>
        </w:numPr>
        <w:spacing w:after="0" w:line="360" w:lineRule="auto"/>
        <w:ind w:right="1133" w:hanging="502"/>
        <w:jc w:val="both"/>
        <w:rPr>
          <w:rFonts w:ascii="Times New Roman" w:hAnsi="Times New Roman"/>
          <w:szCs w:val="23"/>
        </w:rPr>
      </w:pPr>
      <w:r w:rsidRPr="00F672F0">
        <w:rPr>
          <w:rFonts w:ascii="Times New Roman" w:hAnsi="Times New Roman"/>
          <w:szCs w:val="23"/>
        </w:rPr>
        <w:t>Guzmán, S.; Segura- Ledesma, D.; Almalaguer-Vargas.; et al. 2020. El capulín (Prunus serotina.): árbol multipropósito con potencial forestal en México Black cherry (Prunus serotina Ehrh.). Revista Madera y Bosques vol. 26, núm. 1, e2611866. Primavera 2020 doi:  10.21829/myb.2020.2611866</w:t>
      </w:r>
    </w:p>
    <w:p w:rsidR="00FD3AE3" w:rsidRPr="00F672F0" w:rsidRDefault="00FD3AE3" w:rsidP="00FD3AE3">
      <w:pPr>
        <w:pStyle w:val="Prrafodelista"/>
        <w:numPr>
          <w:ilvl w:val="0"/>
          <w:numId w:val="41"/>
        </w:numPr>
        <w:spacing w:after="0" w:line="360" w:lineRule="auto"/>
        <w:ind w:right="1133" w:hanging="502"/>
        <w:jc w:val="both"/>
        <w:rPr>
          <w:rFonts w:ascii="Times New Roman" w:hAnsi="Times New Roman"/>
          <w:szCs w:val="23"/>
        </w:rPr>
      </w:pPr>
      <w:r w:rsidRPr="00F672F0">
        <w:rPr>
          <w:rFonts w:ascii="Times New Roman" w:hAnsi="Times New Roman"/>
          <w:szCs w:val="23"/>
        </w:rPr>
        <w:t xml:space="preserve">Jiménez, Víctor. 2019. Alimentos fermentados y salud. Congreso de  Gastronomía  y salud.  </w:t>
      </w:r>
    </w:p>
    <w:p w:rsidR="00FD3AE3" w:rsidRPr="00F672F0" w:rsidRDefault="00FD3AE3" w:rsidP="00FD3AE3">
      <w:pPr>
        <w:pStyle w:val="Prrafodelista"/>
        <w:numPr>
          <w:ilvl w:val="0"/>
          <w:numId w:val="41"/>
        </w:numPr>
        <w:spacing w:after="0" w:line="360" w:lineRule="auto"/>
        <w:ind w:right="1133" w:hanging="502"/>
        <w:jc w:val="both"/>
        <w:rPr>
          <w:rFonts w:ascii="Times New Roman" w:hAnsi="Times New Roman"/>
          <w:szCs w:val="23"/>
        </w:rPr>
      </w:pPr>
      <w:r w:rsidRPr="00F672F0">
        <w:rPr>
          <w:rFonts w:ascii="Times New Roman" w:hAnsi="Times New Roman"/>
          <w:szCs w:val="23"/>
        </w:rPr>
        <w:t>Universidad Complutense de Madrid. Periódico on  line XL semanal. ABC. Nacional de Sevilla.  Recuperado de  https://www.abc.es/sociedad/abci-fermentacion-ciertos-alimentos-y-bebidas-podria-tener-beneficios-para-salud-201911151703_video.html</w:t>
      </w:r>
    </w:p>
    <w:p w:rsidR="00FD3AE3" w:rsidRPr="00F672F0" w:rsidRDefault="00FD3AE3" w:rsidP="005829A6">
      <w:pPr>
        <w:pStyle w:val="Prrafodelista"/>
        <w:numPr>
          <w:ilvl w:val="0"/>
          <w:numId w:val="41"/>
        </w:numPr>
        <w:spacing w:after="0" w:line="360" w:lineRule="auto"/>
        <w:ind w:right="1133" w:hanging="502"/>
        <w:jc w:val="both"/>
        <w:rPr>
          <w:rFonts w:ascii="Times New Roman" w:hAnsi="Times New Roman"/>
          <w:szCs w:val="23"/>
        </w:rPr>
      </w:pPr>
      <w:r w:rsidRPr="00F672F0">
        <w:rPr>
          <w:rFonts w:ascii="Times New Roman" w:hAnsi="Times New Roman"/>
          <w:szCs w:val="23"/>
        </w:rPr>
        <w:t xml:space="preserve">Macías, Laura. 2018. Elaboración de vinos. Editorial Síntesis, S.A.   Madrid.   ISBN 978-84-9171-187-2. </w:t>
      </w:r>
    </w:p>
    <w:p w:rsidR="00FD3AE3" w:rsidRPr="00F672F0" w:rsidRDefault="00FD3AE3" w:rsidP="00FD3AE3">
      <w:pPr>
        <w:pStyle w:val="Prrafodelista"/>
        <w:numPr>
          <w:ilvl w:val="0"/>
          <w:numId w:val="41"/>
        </w:numPr>
        <w:spacing w:after="0" w:line="360" w:lineRule="auto"/>
        <w:ind w:right="1133" w:hanging="502"/>
        <w:jc w:val="both"/>
        <w:rPr>
          <w:rFonts w:ascii="Times New Roman" w:hAnsi="Times New Roman"/>
          <w:szCs w:val="23"/>
        </w:rPr>
      </w:pPr>
      <w:r w:rsidRPr="00F672F0">
        <w:rPr>
          <w:rFonts w:ascii="Times New Roman" w:hAnsi="Times New Roman"/>
          <w:szCs w:val="23"/>
        </w:rPr>
        <w:t>Norma Técnica Nacional para  vinos  tintos 212.014.   INACAL  Última Revisión 2016.</w:t>
      </w:r>
    </w:p>
    <w:p w:rsidR="00FD3AE3" w:rsidRPr="00F672F0" w:rsidRDefault="00FD3AE3" w:rsidP="00FD3AE3">
      <w:pPr>
        <w:pStyle w:val="Prrafodelista"/>
        <w:numPr>
          <w:ilvl w:val="0"/>
          <w:numId w:val="41"/>
        </w:numPr>
        <w:spacing w:after="0" w:line="360" w:lineRule="auto"/>
        <w:ind w:right="1133" w:hanging="502"/>
        <w:jc w:val="both"/>
        <w:rPr>
          <w:rFonts w:ascii="Times New Roman" w:hAnsi="Times New Roman"/>
          <w:szCs w:val="23"/>
        </w:rPr>
      </w:pPr>
      <w:r w:rsidRPr="00F672F0">
        <w:rPr>
          <w:rFonts w:ascii="Times New Roman" w:hAnsi="Times New Roman"/>
          <w:szCs w:val="23"/>
        </w:rPr>
        <w:t xml:space="preserve">Urcuanjo, Patricio. 2014. “Evaluación de medios de cultivo para micro propagación  “in vitro” de capulí (Prunos serótina ss. capulí) a partir de segmentos nodales”.   Tesis para optar el titulo  de ingeniero agrónomo. Universidad Central del Ecuador. Quito. Ecuador. </w:t>
      </w:r>
    </w:p>
    <w:p w:rsidR="00FD3AE3" w:rsidRPr="00F672F0" w:rsidRDefault="00FD3AE3" w:rsidP="00FD3AE3">
      <w:pPr>
        <w:pStyle w:val="Prrafodelista"/>
        <w:numPr>
          <w:ilvl w:val="0"/>
          <w:numId w:val="41"/>
        </w:numPr>
        <w:spacing w:after="0" w:line="360" w:lineRule="auto"/>
        <w:ind w:right="1133" w:hanging="502"/>
        <w:jc w:val="both"/>
        <w:rPr>
          <w:rFonts w:ascii="Times New Roman" w:hAnsi="Times New Roman"/>
          <w:szCs w:val="23"/>
        </w:rPr>
      </w:pPr>
      <w:r w:rsidRPr="00F672F0">
        <w:rPr>
          <w:rFonts w:ascii="Times New Roman" w:hAnsi="Times New Roman"/>
          <w:szCs w:val="23"/>
        </w:rPr>
        <w:t>Poma, Patricia. 2016. “Efecto de tres niveles de concentración de levadura Saccharomyces  cereviciae cepa CH 158 SIHA en la fermentación del zumo de aguaymanto (Physalis peruviana L.). Universidad Nacional del Centro del Perú. Huancayo. Perú. 93 p.</w:t>
      </w:r>
    </w:p>
    <w:p w:rsidR="00FD3AE3" w:rsidRPr="00F672F0" w:rsidRDefault="00FD3AE3" w:rsidP="005829A6">
      <w:pPr>
        <w:pStyle w:val="Prrafodelista"/>
        <w:numPr>
          <w:ilvl w:val="0"/>
          <w:numId w:val="41"/>
        </w:numPr>
        <w:spacing w:after="0" w:line="360" w:lineRule="auto"/>
        <w:ind w:right="1133" w:hanging="502"/>
        <w:jc w:val="both"/>
        <w:rPr>
          <w:rFonts w:ascii="Times New Roman" w:hAnsi="Times New Roman"/>
          <w:szCs w:val="23"/>
        </w:rPr>
      </w:pPr>
      <w:r w:rsidRPr="00F672F0">
        <w:rPr>
          <w:rFonts w:ascii="Times New Roman" w:hAnsi="Times New Roman"/>
          <w:szCs w:val="23"/>
        </w:rPr>
        <w:t xml:space="preserve">Ruiz, S.; Venegas, E.; Tadeo, A.; et al., 2018. Características farmacognósticas y cuantificación espectrofotométrica de antocianinas totales del fruto de Prunus serótina subsp. capuli (Cav.) McVaugh (Rosaceae) “capulí”. Arnaldoa 25 (3): 961-980, 2018 </w:t>
      </w:r>
    </w:p>
    <w:p w:rsidR="00FD3AE3" w:rsidRPr="00F672F0" w:rsidRDefault="00FD3AE3" w:rsidP="00FD3AE3">
      <w:pPr>
        <w:pStyle w:val="Prrafodelista"/>
        <w:numPr>
          <w:ilvl w:val="0"/>
          <w:numId w:val="41"/>
        </w:numPr>
        <w:spacing w:after="0" w:line="360" w:lineRule="auto"/>
        <w:ind w:right="1133" w:hanging="502"/>
        <w:jc w:val="both"/>
        <w:rPr>
          <w:rFonts w:ascii="Times New Roman" w:hAnsi="Times New Roman"/>
          <w:szCs w:val="23"/>
        </w:rPr>
      </w:pPr>
      <w:r w:rsidRPr="00F672F0">
        <w:rPr>
          <w:rFonts w:ascii="Times New Roman" w:hAnsi="Times New Roman"/>
          <w:szCs w:val="23"/>
        </w:rPr>
        <w:t>Requena,  José. 2015.  Cata de Vinos. 2ª edición   Málaga. ICB, SL.  (Interconsulting Bureau S.L.)</w:t>
      </w:r>
    </w:p>
    <w:p w:rsidR="00450CDD" w:rsidRPr="00F672F0" w:rsidRDefault="00FD3AE3" w:rsidP="00FD3AE3">
      <w:pPr>
        <w:pStyle w:val="Prrafodelista"/>
        <w:numPr>
          <w:ilvl w:val="0"/>
          <w:numId w:val="41"/>
        </w:numPr>
        <w:spacing w:after="0" w:line="360" w:lineRule="auto"/>
        <w:ind w:right="1133" w:hanging="502"/>
        <w:jc w:val="both"/>
        <w:rPr>
          <w:rFonts w:ascii="Times New Roman" w:hAnsi="Times New Roman"/>
          <w:szCs w:val="23"/>
        </w:rPr>
      </w:pPr>
      <w:r w:rsidRPr="00F672F0">
        <w:rPr>
          <w:rFonts w:ascii="Times New Roman" w:hAnsi="Times New Roman"/>
          <w:szCs w:val="23"/>
        </w:rPr>
        <w:t>Velásquez, Percy. 2017. “Métodos estadísticos para la investigación en  agroindustria”. 1a.  Edición  Ayacucho. Perú.</w:t>
      </w:r>
    </w:p>
    <w:p w:rsidR="004D437C" w:rsidRDefault="004D437C" w:rsidP="006360E7">
      <w:pPr>
        <w:pStyle w:val="Prrafodelista"/>
        <w:spacing w:after="0" w:line="360" w:lineRule="auto"/>
        <w:ind w:left="426" w:right="-1"/>
        <w:jc w:val="both"/>
        <w:rPr>
          <w:rFonts w:ascii="Times New Roman" w:hAnsi="Times New Roman"/>
          <w:sz w:val="23"/>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840098" w:rsidRPr="007B0009" w:rsidRDefault="00FF5C0F" w:rsidP="007B0009">
      <w:pPr>
        <w:pStyle w:val="Prrafodelista"/>
        <w:tabs>
          <w:tab w:val="left" w:pos="3952"/>
        </w:tabs>
        <w:spacing w:after="0" w:line="360" w:lineRule="auto"/>
        <w:ind w:left="0"/>
        <w:jc w:val="center"/>
        <w:rPr>
          <w:rFonts w:ascii="Times New Roman" w:hAnsi="Times New Roman"/>
          <w:sz w:val="23"/>
          <w:szCs w:val="23"/>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840098" w:rsidRPr="007B0009" w:rsidSect="00EF07E6">
      <w:headerReference w:type="even" r:id="rId22"/>
      <w:headerReference w:type="default" r:id="rId23"/>
      <w:headerReference w:type="first" r:id="rId24"/>
      <w:pgSz w:w="12240" w:h="15840"/>
      <w:pgMar w:top="1418" w:right="1183" w:bottom="1134" w:left="1134" w:header="454" w:footer="417" w:gutter="0"/>
      <w:pgNumType w:start="94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940" w:rsidRDefault="009D0940">
      <w:pPr>
        <w:spacing w:after="0" w:line="240" w:lineRule="auto"/>
      </w:pPr>
      <w:r>
        <w:separator/>
      </w:r>
    </w:p>
  </w:endnote>
  <w:endnote w:type="continuationSeparator" w:id="0">
    <w:p w:rsidR="009D0940" w:rsidRDefault="009D0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Arial Unicode MS"/>
    <w:charset w:val="80"/>
    <w:family w:val="swiss"/>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Garamon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9A6" w:rsidRDefault="005829A6">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29A6" w:rsidRDefault="005829A6"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8) Vol. 6, No 5, Mayo</w:t>
                          </w:r>
                          <w:r w:rsidRPr="00B930ED">
                            <w:rPr>
                              <w:rFonts w:ascii="Times New Roman" w:hAnsi="Times New Roman"/>
                              <w:sz w:val="20"/>
                              <w:szCs w:val="20"/>
                            </w:rPr>
                            <w:t xml:space="preserve"> 2021</w:t>
                          </w:r>
                          <w:r>
                            <w:rPr>
                              <w:rFonts w:ascii="Times New Roman" w:hAnsi="Times New Roman"/>
                              <w:sz w:val="20"/>
                              <w:szCs w:val="20"/>
                            </w:rPr>
                            <w:t xml:space="preserve">, pp. </w:t>
                          </w:r>
                          <w:r w:rsidRPr="005266FD">
                            <w:rPr>
                              <w:rFonts w:ascii="Times New Roman" w:hAnsi="Times New Roman"/>
                              <w:sz w:val="20"/>
                              <w:szCs w:val="20"/>
                            </w:rPr>
                            <w:t>940-952</w:t>
                          </w:r>
                          <w:r w:rsidRPr="00B930ED">
                            <w:rPr>
                              <w:rFonts w:ascii="Times New Roman" w:hAnsi="Times New Roman"/>
                              <w:sz w:val="20"/>
                              <w:szCs w:val="20"/>
                            </w:rPr>
                            <w:t xml:space="preserve">, </w:t>
                          </w:r>
                          <w:r>
                            <w:rPr>
                              <w:rFonts w:ascii="Times New Roman" w:hAnsi="Times New Roman"/>
                              <w:sz w:val="20"/>
                              <w:szCs w:val="20"/>
                            </w:rPr>
                            <w:t>ISSN: 2550 - 682X</w:t>
                          </w:r>
                        </w:p>
                        <w:p w:rsidR="005829A6" w:rsidRDefault="005829A6">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5829A6" w:rsidRDefault="005829A6"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8) Vol. 6, No 5, Mayo</w:t>
                    </w:r>
                    <w:r w:rsidRPr="00B930ED">
                      <w:rPr>
                        <w:rFonts w:ascii="Times New Roman" w:hAnsi="Times New Roman"/>
                        <w:sz w:val="20"/>
                        <w:szCs w:val="20"/>
                      </w:rPr>
                      <w:t xml:space="preserve"> 2021</w:t>
                    </w:r>
                    <w:r>
                      <w:rPr>
                        <w:rFonts w:ascii="Times New Roman" w:hAnsi="Times New Roman"/>
                        <w:sz w:val="20"/>
                        <w:szCs w:val="20"/>
                      </w:rPr>
                      <w:t xml:space="preserve">, pp. </w:t>
                    </w:r>
                    <w:r w:rsidRPr="005266FD">
                      <w:rPr>
                        <w:rFonts w:ascii="Times New Roman" w:hAnsi="Times New Roman"/>
                        <w:sz w:val="20"/>
                        <w:szCs w:val="20"/>
                      </w:rPr>
                      <w:t>940-952</w:t>
                    </w:r>
                    <w:r w:rsidRPr="00B930ED">
                      <w:rPr>
                        <w:rFonts w:ascii="Times New Roman" w:hAnsi="Times New Roman"/>
                        <w:sz w:val="20"/>
                        <w:szCs w:val="20"/>
                      </w:rPr>
                      <w:t xml:space="preserve">, </w:t>
                    </w:r>
                    <w:r>
                      <w:rPr>
                        <w:rFonts w:ascii="Times New Roman" w:hAnsi="Times New Roman"/>
                        <w:sz w:val="20"/>
                        <w:szCs w:val="20"/>
                      </w:rPr>
                      <w:t>ISSN: 2550 - 682X</w:t>
                    </w:r>
                  </w:p>
                  <w:p w:rsidR="005829A6" w:rsidRDefault="005829A6">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747D967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5829A6" w:rsidRPr="003B594A" w:rsidRDefault="005829A6">
                            <w:pPr>
                              <w:jc w:val="center"/>
                              <w:rPr>
                                <w:color w:val="000000"/>
                                <w:sz w:val="32"/>
                                <w:szCs w:val="32"/>
                                <w:lang w:val="es-ES"/>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6C0488" w:rsidRPr="006C0488">
                              <w:rPr>
                                <w:noProof/>
                                <w:color w:val="000000"/>
                                <w:sz w:val="32"/>
                                <w:szCs w:val="32"/>
                                <w:lang w:val="es-ES" w:eastAsia="es-EC"/>
                              </w:rPr>
                              <w:t>948</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5829A6" w:rsidRPr="003B594A" w:rsidRDefault="005829A6">
                      <w:pPr>
                        <w:jc w:val="center"/>
                        <w:rPr>
                          <w:color w:val="000000"/>
                          <w:sz w:val="32"/>
                          <w:szCs w:val="32"/>
                          <w:lang w:val="es-ES"/>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6C0488" w:rsidRPr="006C0488">
                        <w:rPr>
                          <w:noProof/>
                          <w:color w:val="000000"/>
                          <w:sz w:val="32"/>
                          <w:szCs w:val="32"/>
                          <w:lang w:val="es-ES" w:eastAsia="es-EC"/>
                        </w:rPr>
                        <w:t>948</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9A6" w:rsidRDefault="005829A6">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29A6" w:rsidRDefault="005829A6">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58) Vol. 6, No 5, Mayo</w:t>
                          </w:r>
                          <w:r w:rsidRPr="00B930ED">
                            <w:rPr>
                              <w:rFonts w:ascii="Times New Roman" w:hAnsi="Times New Roman"/>
                              <w:sz w:val="20"/>
                              <w:szCs w:val="20"/>
                            </w:rPr>
                            <w:t xml:space="preserve"> 2021, pp. </w:t>
                          </w:r>
                          <w:r w:rsidRPr="005266FD">
                            <w:rPr>
                              <w:rFonts w:ascii="Times New Roman" w:hAnsi="Times New Roman"/>
                              <w:sz w:val="20"/>
                              <w:szCs w:val="20"/>
                            </w:rPr>
                            <w:t>940-952</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5829A6" w:rsidRDefault="005829A6">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58) Vol. 6, No 5, Mayo</w:t>
                    </w:r>
                    <w:r w:rsidRPr="00B930ED">
                      <w:rPr>
                        <w:rFonts w:ascii="Times New Roman" w:hAnsi="Times New Roman"/>
                        <w:sz w:val="20"/>
                        <w:szCs w:val="20"/>
                      </w:rPr>
                      <w:t xml:space="preserve"> 2021, pp. </w:t>
                    </w:r>
                    <w:r w:rsidRPr="005266FD">
                      <w:rPr>
                        <w:rFonts w:ascii="Times New Roman" w:hAnsi="Times New Roman"/>
                        <w:sz w:val="20"/>
                        <w:szCs w:val="20"/>
                      </w:rPr>
                      <w:t>940-952</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12BD109C"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5829A6" w:rsidRDefault="005829A6">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6C0488" w:rsidRPr="006C0488">
                              <w:rPr>
                                <w:noProof/>
                                <w:color w:val="000000"/>
                                <w:sz w:val="32"/>
                                <w:szCs w:val="32"/>
                                <w:lang w:val="es-ES" w:eastAsia="es-EC"/>
                              </w:rPr>
                              <w:t>949</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5829A6" w:rsidRDefault="005829A6">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6C0488" w:rsidRPr="006C0488">
                        <w:rPr>
                          <w:noProof/>
                          <w:color w:val="000000"/>
                          <w:sz w:val="32"/>
                          <w:szCs w:val="32"/>
                          <w:lang w:val="es-ES" w:eastAsia="es-EC"/>
                        </w:rPr>
                        <w:t>949</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9A6" w:rsidRDefault="005829A6">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29A6" w:rsidRDefault="005829A6">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5829A6" w:rsidRDefault="005829A6">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622F4A25"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940" w:rsidRDefault="009D0940">
      <w:pPr>
        <w:spacing w:after="0" w:line="240" w:lineRule="auto"/>
      </w:pPr>
      <w:r>
        <w:separator/>
      </w:r>
    </w:p>
  </w:footnote>
  <w:footnote w:type="continuationSeparator" w:id="0">
    <w:p w:rsidR="009D0940" w:rsidRDefault="009D09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9A6" w:rsidRDefault="005829A6">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1" name="Imagen 1"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9A6" w:rsidRDefault="005829A6">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5829A6" w:rsidRDefault="005829A6">
    <w:pPr>
      <w:pStyle w:val="Sinespaciado"/>
      <w:spacing w:line="360" w:lineRule="auto"/>
      <w:jc w:val="center"/>
      <w:rPr>
        <w:rFonts w:ascii="Times New Roman" w:hAnsi="Times New Roman"/>
        <w:sz w:val="20"/>
        <w:szCs w:val="20"/>
        <w:lang w:eastAsia="es-EC"/>
      </w:rPr>
    </w:pPr>
  </w:p>
  <w:p w:rsidR="005829A6" w:rsidRDefault="005829A6">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5829A6" w:rsidRDefault="005829A6">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5829A6" w:rsidRDefault="005829A6">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9A6" w:rsidRDefault="005829A6">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3"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5829A6" w:rsidRDefault="005829A6">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5829A6" w:rsidRDefault="005829A6">
                          <w:pPr>
                            <w:pStyle w:val="Sinespaciado"/>
                            <w:rPr>
                              <w:rFonts w:ascii="Times New Roman" w:hAnsi="Times New Roman"/>
                              <w:b/>
                              <w:lang w:val="pt-BR"/>
                            </w:rPr>
                          </w:pPr>
                          <w:r>
                            <w:rPr>
                              <w:rFonts w:ascii="Times New Roman" w:hAnsi="Times New Roman"/>
                              <w:b/>
                              <w:lang w:val="pt-BR"/>
                            </w:rPr>
                            <w:t xml:space="preserve">Mayo </w:t>
                          </w:r>
                          <w:r>
                            <w:rPr>
                              <w:rFonts w:ascii="Times New Roman" w:hAnsi="Times New Roman"/>
                              <w:b/>
                              <w:lang w:val="pt-PT"/>
                            </w:rPr>
                            <w:t>2021</w:t>
                          </w:r>
                          <w:r>
                            <w:rPr>
                              <w:rFonts w:ascii="Times New Roman" w:hAnsi="Times New Roman"/>
                              <w:b/>
                              <w:lang w:val="pt-BR"/>
                            </w:rPr>
                            <w:t>, pp.</w:t>
                          </w:r>
                          <w:r w:rsidRPr="00B61A33">
                            <w:t xml:space="preserve"> </w:t>
                          </w:r>
                          <w:r>
                            <w:rPr>
                              <w:rFonts w:ascii="Times New Roman" w:hAnsi="Times New Roman"/>
                              <w:b/>
                              <w:lang w:val="pt-BR"/>
                            </w:rPr>
                            <w:t>940-952</w:t>
                          </w:r>
                        </w:p>
                        <w:p w:rsidR="005829A6" w:rsidRDefault="005829A6">
                          <w:pPr>
                            <w:pStyle w:val="Sinespaciado"/>
                            <w:rPr>
                              <w:rFonts w:ascii="Times New Roman" w:hAnsi="Times New Roman"/>
                              <w:b/>
                              <w:lang w:val="pt-BR"/>
                            </w:rPr>
                          </w:pPr>
                          <w:r>
                            <w:rPr>
                              <w:rFonts w:ascii="Times New Roman" w:hAnsi="Times New Roman"/>
                              <w:b/>
                              <w:lang w:val="pt-BR"/>
                            </w:rPr>
                            <w:t>ISSN: 2550 - 682X</w:t>
                          </w:r>
                        </w:p>
                        <w:p w:rsidR="005829A6" w:rsidRDefault="005829A6">
                          <w:pPr>
                            <w:pStyle w:val="Sinespaciado"/>
                            <w:rPr>
                              <w:rFonts w:ascii="Times New Roman" w:hAnsi="Times New Roman"/>
                              <w:b/>
                              <w:lang w:val="pt-BR"/>
                            </w:rPr>
                          </w:pPr>
                          <w:r>
                            <w:rPr>
                              <w:rFonts w:ascii="Times New Roman" w:hAnsi="Times New Roman"/>
                              <w:b/>
                              <w:lang w:val="pt-BR"/>
                            </w:rPr>
                            <w:t xml:space="preserve">DOI: </w:t>
                          </w:r>
                          <w:r w:rsidRPr="003B53E3">
                            <w:rPr>
                              <w:rFonts w:ascii="Times New Roman" w:hAnsi="Times New Roman"/>
                              <w:b/>
                              <w:lang w:val="pt-BR"/>
                            </w:rPr>
                            <w:t>10.23857/pc.v6i5.2720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5829A6" w:rsidRDefault="005829A6">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5829A6" w:rsidRDefault="005829A6">
                    <w:pPr>
                      <w:pStyle w:val="Sinespaciado"/>
                      <w:rPr>
                        <w:rFonts w:ascii="Times New Roman" w:hAnsi="Times New Roman"/>
                        <w:b/>
                        <w:lang w:val="pt-BR"/>
                      </w:rPr>
                    </w:pPr>
                    <w:r>
                      <w:rPr>
                        <w:rFonts w:ascii="Times New Roman" w:hAnsi="Times New Roman"/>
                        <w:b/>
                        <w:lang w:val="pt-BR"/>
                      </w:rPr>
                      <w:t xml:space="preserve">Mayo </w:t>
                    </w:r>
                    <w:r>
                      <w:rPr>
                        <w:rFonts w:ascii="Times New Roman" w:hAnsi="Times New Roman"/>
                        <w:b/>
                        <w:lang w:val="pt-PT"/>
                      </w:rPr>
                      <w:t>2021</w:t>
                    </w:r>
                    <w:r>
                      <w:rPr>
                        <w:rFonts w:ascii="Times New Roman" w:hAnsi="Times New Roman"/>
                        <w:b/>
                        <w:lang w:val="pt-BR"/>
                      </w:rPr>
                      <w:t>, pp.</w:t>
                    </w:r>
                    <w:r w:rsidRPr="00B61A33">
                      <w:t xml:space="preserve"> </w:t>
                    </w:r>
                    <w:r>
                      <w:rPr>
                        <w:rFonts w:ascii="Times New Roman" w:hAnsi="Times New Roman"/>
                        <w:b/>
                        <w:lang w:val="pt-BR"/>
                      </w:rPr>
                      <w:t>940-952</w:t>
                    </w:r>
                  </w:p>
                  <w:p w:rsidR="005829A6" w:rsidRDefault="005829A6">
                    <w:pPr>
                      <w:pStyle w:val="Sinespaciado"/>
                      <w:rPr>
                        <w:rFonts w:ascii="Times New Roman" w:hAnsi="Times New Roman"/>
                        <w:b/>
                        <w:lang w:val="pt-BR"/>
                      </w:rPr>
                    </w:pPr>
                    <w:r>
                      <w:rPr>
                        <w:rFonts w:ascii="Times New Roman" w:hAnsi="Times New Roman"/>
                        <w:b/>
                        <w:lang w:val="pt-BR"/>
                      </w:rPr>
                      <w:t>ISSN: 2550 - 682X</w:t>
                    </w:r>
                  </w:p>
                  <w:p w:rsidR="005829A6" w:rsidRDefault="005829A6">
                    <w:pPr>
                      <w:pStyle w:val="Sinespaciado"/>
                      <w:rPr>
                        <w:rFonts w:ascii="Times New Roman" w:hAnsi="Times New Roman"/>
                        <w:b/>
                        <w:lang w:val="pt-BR"/>
                      </w:rPr>
                    </w:pPr>
                    <w:r>
                      <w:rPr>
                        <w:rFonts w:ascii="Times New Roman" w:hAnsi="Times New Roman"/>
                        <w:b/>
                        <w:lang w:val="pt-BR"/>
                      </w:rPr>
                      <w:t xml:space="preserve">DOI: </w:t>
                    </w:r>
                    <w:r w:rsidRPr="003B53E3">
                      <w:rPr>
                        <w:rFonts w:ascii="Times New Roman" w:hAnsi="Times New Roman"/>
                        <w:b/>
                        <w:lang w:val="pt-BR"/>
                      </w:rPr>
                      <w:t>10.23857/pc.v6i5.2720</w:t>
                    </w:r>
                  </w:p>
                </w:txbxContent>
              </v:textbox>
            </v:rect>
          </w:pict>
        </mc:Fallback>
      </mc:AlternateContent>
    </w:r>
    <w:r>
      <w:t xml:space="preserve"> </w:t>
    </w:r>
  </w:p>
  <w:p w:rsidR="005829A6" w:rsidRDefault="005829A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9A6" w:rsidRDefault="005829A6">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5829A6" w:rsidRPr="007F38E3" w:rsidRDefault="00F672F0" w:rsidP="007F38E3">
                          <w:pPr>
                            <w:spacing w:line="240" w:lineRule="auto"/>
                            <w:jc w:val="center"/>
                            <w:rPr>
                              <w:rFonts w:ascii="Times New Roman" w:hAnsi="Times New Roman"/>
                              <w:color w:val="000000"/>
                              <w:sz w:val="24"/>
                              <w:szCs w:val="20"/>
                            </w:rPr>
                          </w:pPr>
                          <w:r w:rsidRPr="00F672F0">
                            <w:rPr>
                              <w:rFonts w:ascii="Times New Roman" w:hAnsi="Times New Roman"/>
                              <w:color w:val="000000"/>
                              <w:sz w:val="24"/>
                              <w:szCs w:val="20"/>
                            </w:rPr>
                            <w:t>Influencia   de la concentración de nutrientes y  azucares   en la maceración fermentativa de una bebida  elaborada  con Capulí  (Prunus serotina)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5829A6" w:rsidRPr="007F38E3" w:rsidRDefault="00F672F0" w:rsidP="007F38E3">
                    <w:pPr>
                      <w:spacing w:line="240" w:lineRule="auto"/>
                      <w:jc w:val="center"/>
                      <w:rPr>
                        <w:rFonts w:ascii="Times New Roman" w:hAnsi="Times New Roman"/>
                        <w:color w:val="000000"/>
                        <w:sz w:val="24"/>
                        <w:szCs w:val="20"/>
                      </w:rPr>
                    </w:pPr>
                    <w:r w:rsidRPr="00F672F0">
                      <w:rPr>
                        <w:rFonts w:ascii="Times New Roman" w:hAnsi="Times New Roman"/>
                        <w:color w:val="000000"/>
                        <w:sz w:val="24"/>
                        <w:szCs w:val="20"/>
                      </w:rPr>
                      <w:t>Influencia   de la concentración de nutrientes y  azucares   en la maceración fermentativa de una bebida  elaborada  con Capulí  (Prunus serotina)</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36"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5829A6" w:rsidRDefault="005829A6">
    <w:pPr>
      <w:pStyle w:val="Encabezado"/>
    </w:pPr>
  </w:p>
  <w:p w:rsidR="005829A6" w:rsidRDefault="005829A6">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9A6" w:rsidRDefault="005829A6">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9A6" w:rsidRPr="00421C00" w:rsidRDefault="006C0488" w:rsidP="0053472E">
                          <w:pPr>
                            <w:jc w:val="center"/>
                            <w:rPr>
                              <w:rFonts w:ascii="Times New Roman" w:hAnsi="Times New Roman"/>
                              <w:sz w:val="24"/>
                              <w:szCs w:val="24"/>
                            </w:rPr>
                          </w:pPr>
                          <w:r w:rsidRPr="006C0488">
                            <w:rPr>
                              <w:rFonts w:ascii="Times New Roman" w:hAnsi="Times New Roman"/>
                              <w:sz w:val="24"/>
                              <w:szCs w:val="24"/>
                            </w:rPr>
                            <w:t>Paula Elvira  Falcón Romero, Edwin Johny  Asnate Salazar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5829A6" w:rsidRPr="00421C00" w:rsidRDefault="006C0488" w:rsidP="0053472E">
                    <w:pPr>
                      <w:jc w:val="center"/>
                      <w:rPr>
                        <w:rFonts w:ascii="Times New Roman" w:hAnsi="Times New Roman"/>
                        <w:sz w:val="24"/>
                        <w:szCs w:val="24"/>
                      </w:rPr>
                    </w:pPr>
                    <w:r w:rsidRPr="006C0488">
                      <w:rPr>
                        <w:rFonts w:ascii="Times New Roman" w:hAnsi="Times New Roman"/>
                        <w:sz w:val="24"/>
                        <w:szCs w:val="24"/>
                      </w:rPr>
                      <w:t>Paula Elvira  Falcón Romero, Edwin Johny  Asnate Salazar</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37" name="Imagen 37"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9A6" w:rsidRDefault="005829A6">
    <w:pPr>
      <w:pStyle w:val="Encabezado"/>
    </w:pPr>
    <w:r>
      <w:t>Dddddddddd</w:t>
    </w:r>
  </w:p>
  <w:p w:rsidR="005829A6" w:rsidRDefault="005829A6">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4678EE"/>
    <w:multiLevelType w:val="hybridMultilevel"/>
    <w:tmpl w:val="19E85C98"/>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51472A5"/>
    <w:multiLevelType w:val="hybridMultilevel"/>
    <w:tmpl w:val="DF22AE4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6495C26"/>
    <w:multiLevelType w:val="hybridMultilevel"/>
    <w:tmpl w:val="AD0A032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 w15:restartNumberingAfterBreak="0">
    <w:nsid w:val="0AC02692"/>
    <w:multiLevelType w:val="hybridMultilevel"/>
    <w:tmpl w:val="B77A6CDA"/>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B4B6039"/>
    <w:multiLevelType w:val="hybridMultilevel"/>
    <w:tmpl w:val="ED765B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C4A19FA"/>
    <w:multiLevelType w:val="hybridMultilevel"/>
    <w:tmpl w:val="6A34E1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E557501"/>
    <w:multiLevelType w:val="hybridMultilevel"/>
    <w:tmpl w:val="45A8D55A"/>
    <w:lvl w:ilvl="0" w:tplc="824E86A0">
      <w:numFmt w:val="bullet"/>
      <w:lvlText w:val=""/>
      <w:lvlJc w:val="left"/>
      <w:pPr>
        <w:ind w:left="1065" w:hanging="705"/>
      </w:pPr>
      <w:rPr>
        <w:rFonts w:ascii="Symbol" w:eastAsia="SimSun"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0E9C3B05"/>
    <w:multiLevelType w:val="hybridMultilevel"/>
    <w:tmpl w:val="FB6C1F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69E5578"/>
    <w:multiLevelType w:val="hybridMultilevel"/>
    <w:tmpl w:val="2644688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B40214C"/>
    <w:multiLevelType w:val="hybridMultilevel"/>
    <w:tmpl w:val="D3889A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15E5CF0"/>
    <w:multiLevelType w:val="hybridMultilevel"/>
    <w:tmpl w:val="7FAC7FAC"/>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12"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A4008F"/>
    <w:multiLevelType w:val="hybridMultilevel"/>
    <w:tmpl w:val="54CCAA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26EC5F2D"/>
    <w:multiLevelType w:val="hybridMultilevel"/>
    <w:tmpl w:val="3A2613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59E2FBD"/>
    <w:multiLevelType w:val="hybridMultilevel"/>
    <w:tmpl w:val="498C05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7711ECE"/>
    <w:multiLevelType w:val="hybridMultilevel"/>
    <w:tmpl w:val="DC34471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8874698"/>
    <w:multiLevelType w:val="hybridMultilevel"/>
    <w:tmpl w:val="BFC432AC"/>
    <w:lvl w:ilvl="0" w:tplc="4A18D3D2">
      <w:start w:val="1"/>
      <w:numFmt w:val="decimal"/>
      <w:lvlText w:val="%1."/>
      <w:lvlJc w:val="left"/>
      <w:pPr>
        <w:ind w:left="786" w:hanging="360"/>
      </w:pPr>
      <w:rPr>
        <w:rFonts w:hint="default"/>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18" w15:restartNumberingAfterBreak="0">
    <w:nsid w:val="3D617828"/>
    <w:multiLevelType w:val="hybridMultilevel"/>
    <w:tmpl w:val="C0AC3D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DFE036C"/>
    <w:multiLevelType w:val="hybridMultilevel"/>
    <w:tmpl w:val="FEB4D7C6"/>
    <w:lvl w:ilvl="0" w:tplc="1D94120E">
      <w:start w:val="520"/>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4308539F"/>
    <w:multiLevelType w:val="hybridMultilevel"/>
    <w:tmpl w:val="666E10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A38101E"/>
    <w:multiLevelType w:val="hybridMultilevel"/>
    <w:tmpl w:val="3BB617CA"/>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3" w15:restartNumberingAfterBreak="0">
    <w:nsid w:val="4EC05C35"/>
    <w:multiLevelType w:val="hybridMultilevel"/>
    <w:tmpl w:val="B5228E10"/>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FAD54A1"/>
    <w:multiLevelType w:val="hybridMultilevel"/>
    <w:tmpl w:val="E14A774A"/>
    <w:lvl w:ilvl="0" w:tplc="C8B2F9E2">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51266B21"/>
    <w:multiLevelType w:val="hybridMultilevel"/>
    <w:tmpl w:val="4C886F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1690278"/>
    <w:multiLevelType w:val="hybridMultilevel"/>
    <w:tmpl w:val="A986E8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5B797FB3"/>
    <w:multiLevelType w:val="hybridMultilevel"/>
    <w:tmpl w:val="771611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5CF97698"/>
    <w:multiLevelType w:val="hybridMultilevel"/>
    <w:tmpl w:val="EA8200A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24F3B1C"/>
    <w:multiLevelType w:val="hybridMultilevel"/>
    <w:tmpl w:val="CB423B7A"/>
    <w:lvl w:ilvl="0" w:tplc="0C0A000F">
      <w:start w:val="1"/>
      <w:numFmt w:val="decimal"/>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1" w15:restartNumberingAfterBreak="0">
    <w:nsid w:val="626754E8"/>
    <w:multiLevelType w:val="hybridMultilevel"/>
    <w:tmpl w:val="25581B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654668D9"/>
    <w:multiLevelType w:val="hybridMultilevel"/>
    <w:tmpl w:val="31E0AA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7D769C8"/>
    <w:multiLevelType w:val="hybridMultilevel"/>
    <w:tmpl w:val="60948E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6D8300FF"/>
    <w:multiLevelType w:val="hybridMultilevel"/>
    <w:tmpl w:val="A3DE2534"/>
    <w:lvl w:ilvl="0" w:tplc="CBC627B4">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71116939"/>
    <w:multiLevelType w:val="hybridMultilevel"/>
    <w:tmpl w:val="E67A8FD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71493B6E"/>
    <w:multiLevelType w:val="hybridMultilevel"/>
    <w:tmpl w:val="6ABE8394"/>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75476ECD"/>
    <w:multiLevelType w:val="hybridMultilevel"/>
    <w:tmpl w:val="E916AC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77862580"/>
    <w:multiLevelType w:val="hybridMultilevel"/>
    <w:tmpl w:val="432E99EA"/>
    <w:lvl w:ilvl="0" w:tplc="6AF4ADA6">
      <w:start w:val="48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787742B2"/>
    <w:multiLevelType w:val="hybridMultilevel"/>
    <w:tmpl w:val="E4D0C6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34"/>
  </w:num>
  <w:num w:numId="4">
    <w:abstractNumId w:val="12"/>
  </w:num>
  <w:num w:numId="5">
    <w:abstractNumId w:val="22"/>
  </w:num>
  <w:num w:numId="6">
    <w:abstractNumId w:val="3"/>
  </w:num>
  <w:num w:numId="7">
    <w:abstractNumId w:val="15"/>
  </w:num>
  <w:num w:numId="8">
    <w:abstractNumId w:val="28"/>
  </w:num>
  <w:num w:numId="9">
    <w:abstractNumId w:val="8"/>
  </w:num>
  <w:num w:numId="10">
    <w:abstractNumId w:val="6"/>
  </w:num>
  <w:num w:numId="11">
    <w:abstractNumId w:val="25"/>
  </w:num>
  <w:num w:numId="12">
    <w:abstractNumId w:val="18"/>
  </w:num>
  <w:num w:numId="13">
    <w:abstractNumId w:val="33"/>
  </w:num>
  <w:num w:numId="14">
    <w:abstractNumId w:val="13"/>
  </w:num>
  <w:num w:numId="15">
    <w:abstractNumId w:val="40"/>
  </w:num>
  <w:num w:numId="16">
    <w:abstractNumId w:val="14"/>
  </w:num>
  <w:num w:numId="17">
    <w:abstractNumId w:val="7"/>
  </w:num>
  <w:num w:numId="18">
    <w:abstractNumId w:val="38"/>
  </w:num>
  <w:num w:numId="19">
    <w:abstractNumId w:val="16"/>
  </w:num>
  <w:num w:numId="20">
    <w:abstractNumId w:val="37"/>
  </w:num>
  <w:num w:numId="21">
    <w:abstractNumId w:val="20"/>
  </w:num>
  <w:num w:numId="22">
    <w:abstractNumId w:val="9"/>
  </w:num>
  <w:num w:numId="23">
    <w:abstractNumId w:val="31"/>
  </w:num>
  <w:num w:numId="24">
    <w:abstractNumId w:val="36"/>
  </w:num>
  <w:num w:numId="25">
    <w:abstractNumId w:val="26"/>
  </w:num>
  <w:num w:numId="26">
    <w:abstractNumId w:val="4"/>
  </w:num>
  <w:num w:numId="27">
    <w:abstractNumId w:val="1"/>
  </w:num>
  <w:num w:numId="28">
    <w:abstractNumId w:val="10"/>
  </w:num>
  <w:num w:numId="29">
    <w:abstractNumId w:val="21"/>
  </w:num>
  <w:num w:numId="30">
    <w:abstractNumId w:val="23"/>
  </w:num>
  <w:num w:numId="31">
    <w:abstractNumId w:val="39"/>
  </w:num>
  <w:num w:numId="32">
    <w:abstractNumId w:val="19"/>
  </w:num>
  <w:num w:numId="33">
    <w:abstractNumId w:val="24"/>
  </w:num>
  <w:num w:numId="34">
    <w:abstractNumId w:val="2"/>
  </w:num>
  <w:num w:numId="35">
    <w:abstractNumId w:val="35"/>
  </w:num>
  <w:num w:numId="36">
    <w:abstractNumId w:val="27"/>
  </w:num>
  <w:num w:numId="37">
    <w:abstractNumId w:val="5"/>
  </w:num>
  <w:num w:numId="38">
    <w:abstractNumId w:val="32"/>
  </w:num>
  <w:num w:numId="39">
    <w:abstractNumId w:val="30"/>
  </w:num>
  <w:num w:numId="40">
    <w:abstractNumId w:val="11"/>
  </w:num>
  <w:num w:numId="41">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449F"/>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35E"/>
    <w:rsid w:val="000565EB"/>
    <w:rsid w:val="0005688C"/>
    <w:rsid w:val="00061A5E"/>
    <w:rsid w:val="00061DD8"/>
    <w:rsid w:val="00062561"/>
    <w:rsid w:val="00062B38"/>
    <w:rsid w:val="00062B9B"/>
    <w:rsid w:val="0006681D"/>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968CC"/>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C7CA2"/>
    <w:rsid w:val="000D0875"/>
    <w:rsid w:val="000D299B"/>
    <w:rsid w:val="000D4602"/>
    <w:rsid w:val="000D4922"/>
    <w:rsid w:val="000D5B34"/>
    <w:rsid w:val="000D7AC3"/>
    <w:rsid w:val="000E0CE7"/>
    <w:rsid w:val="000E466D"/>
    <w:rsid w:val="000F13D3"/>
    <w:rsid w:val="000F164B"/>
    <w:rsid w:val="000F3C00"/>
    <w:rsid w:val="000F6A58"/>
    <w:rsid w:val="000F7F7A"/>
    <w:rsid w:val="00101B51"/>
    <w:rsid w:val="00105565"/>
    <w:rsid w:val="00112BE6"/>
    <w:rsid w:val="0012153E"/>
    <w:rsid w:val="0012409C"/>
    <w:rsid w:val="00125374"/>
    <w:rsid w:val="0012558C"/>
    <w:rsid w:val="00126213"/>
    <w:rsid w:val="00126CC1"/>
    <w:rsid w:val="001301AB"/>
    <w:rsid w:val="00134469"/>
    <w:rsid w:val="0013480A"/>
    <w:rsid w:val="00137FF2"/>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76AF9"/>
    <w:rsid w:val="00180949"/>
    <w:rsid w:val="0018165D"/>
    <w:rsid w:val="0018182D"/>
    <w:rsid w:val="00190950"/>
    <w:rsid w:val="0019140B"/>
    <w:rsid w:val="00191900"/>
    <w:rsid w:val="0019212E"/>
    <w:rsid w:val="00194127"/>
    <w:rsid w:val="00194C16"/>
    <w:rsid w:val="001953B5"/>
    <w:rsid w:val="001A0545"/>
    <w:rsid w:val="001A103A"/>
    <w:rsid w:val="001A11AC"/>
    <w:rsid w:val="001A2534"/>
    <w:rsid w:val="001A5F48"/>
    <w:rsid w:val="001B124B"/>
    <w:rsid w:val="001B2022"/>
    <w:rsid w:val="001B34A6"/>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E6DC9"/>
    <w:rsid w:val="001E740F"/>
    <w:rsid w:val="001F28CA"/>
    <w:rsid w:val="001F4DBB"/>
    <w:rsid w:val="001F6FDE"/>
    <w:rsid w:val="001F7751"/>
    <w:rsid w:val="0020340D"/>
    <w:rsid w:val="00206430"/>
    <w:rsid w:val="00210FBC"/>
    <w:rsid w:val="00211884"/>
    <w:rsid w:val="002118A8"/>
    <w:rsid w:val="00211E05"/>
    <w:rsid w:val="00212548"/>
    <w:rsid w:val="00212554"/>
    <w:rsid w:val="00215AD1"/>
    <w:rsid w:val="00215D06"/>
    <w:rsid w:val="00221E28"/>
    <w:rsid w:val="00223546"/>
    <w:rsid w:val="002235B9"/>
    <w:rsid w:val="0022398E"/>
    <w:rsid w:val="002239BF"/>
    <w:rsid w:val="002244B6"/>
    <w:rsid w:val="00224724"/>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50FB"/>
    <w:rsid w:val="0024756A"/>
    <w:rsid w:val="00250CC6"/>
    <w:rsid w:val="00251D36"/>
    <w:rsid w:val="00251F62"/>
    <w:rsid w:val="00252CEB"/>
    <w:rsid w:val="00254A9F"/>
    <w:rsid w:val="002560FF"/>
    <w:rsid w:val="0025631D"/>
    <w:rsid w:val="002564DE"/>
    <w:rsid w:val="00260B7F"/>
    <w:rsid w:val="002638E0"/>
    <w:rsid w:val="00264BF2"/>
    <w:rsid w:val="00264FCD"/>
    <w:rsid w:val="00272924"/>
    <w:rsid w:val="00273811"/>
    <w:rsid w:val="0027402B"/>
    <w:rsid w:val="00275282"/>
    <w:rsid w:val="002755F7"/>
    <w:rsid w:val="002801DF"/>
    <w:rsid w:val="00281D68"/>
    <w:rsid w:val="002873BF"/>
    <w:rsid w:val="00290556"/>
    <w:rsid w:val="00292016"/>
    <w:rsid w:val="002929B5"/>
    <w:rsid w:val="00293724"/>
    <w:rsid w:val="002942FC"/>
    <w:rsid w:val="002959BF"/>
    <w:rsid w:val="00295CDA"/>
    <w:rsid w:val="002A0CA8"/>
    <w:rsid w:val="002A602E"/>
    <w:rsid w:val="002B0388"/>
    <w:rsid w:val="002B16FD"/>
    <w:rsid w:val="002B315B"/>
    <w:rsid w:val="002B4614"/>
    <w:rsid w:val="002B465A"/>
    <w:rsid w:val="002B524A"/>
    <w:rsid w:val="002B6ECE"/>
    <w:rsid w:val="002C12C9"/>
    <w:rsid w:val="002C1C6E"/>
    <w:rsid w:val="002C276F"/>
    <w:rsid w:val="002C292A"/>
    <w:rsid w:val="002C3004"/>
    <w:rsid w:val="002C5D3B"/>
    <w:rsid w:val="002C680C"/>
    <w:rsid w:val="002C7962"/>
    <w:rsid w:val="002C79E1"/>
    <w:rsid w:val="002D18DF"/>
    <w:rsid w:val="002D1977"/>
    <w:rsid w:val="002D2A11"/>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47E36"/>
    <w:rsid w:val="0035019F"/>
    <w:rsid w:val="003545A9"/>
    <w:rsid w:val="00356CCC"/>
    <w:rsid w:val="00360FB3"/>
    <w:rsid w:val="00363364"/>
    <w:rsid w:val="0036426F"/>
    <w:rsid w:val="003657C2"/>
    <w:rsid w:val="00365B67"/>
    <w:rsid w:val="00366FF7"/>
    <w:rsid w:val="003676A9"/>
    <w:rsid w:val="003706A9"/>
    <w:rsid w:val="0037352C"/>
    <w:rsid w:val="003758C9"/>
    <w:rsid w:val="00376CB6"/>
    <w:rsid w:val="00382471"/>
    <w:rsid w:val="00383E3B"/>
    <w:rsid w:val="00384345"/>
    <w:rsid w:val="00385D4F"/>
    <w:rsid w:val="00386E75"/>
    <w:rsid w:val="003875DE"/>
    <w:rsid w:val="003916B5"/>
    <w:rsid w:val="00391F56"/>
    <w:rsid w:val="0039239A"/>
    <w:rsid w:val="003925D0"/>
    <w:rsid w:val="00395AEB"/>
    <w:rsid w:val="003961AF"/>
    <w:rsid w:val="0039625B"/>
    <w:rsid w:val="00396804"/>
    <w:rsid w:val="003A01A3"/>
    <w:rsid w:val="003A76B0"/>
    <w:rsid w:val="003B1B99"/>
    <w:rsid w:val="003B2D8A"/>
    <w:rsid w:val="003B4D04"/>
    <w:rsid w:val="003B50BB"/>
    <w:rsid w:val="003B53E3"/>
    <w:rsid w:val="003B594A"/>
    <w:rsid w:val="003B75A8"/>
    <w:rsid w:val="003C0542"/>
    <w:rsid w:val="003C3ECE"/>
    <w:rsid w:val="003C5F6F"/>
    <w:rsid w:val="003C6C1A"/>
    <w:rsid w:val="003C7A01"/>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0CDD"/>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A7B09"/>
    <w:rsid w:val="004B0CF5"/>
    <w:rsid w:val="004B2078"/>
    <w:rsid w:val="004B4EFB"/>
    <w:rsid w:val="004B4F03"/>
    <w:rsid w:val="004B601F"/>
    <w:rsid w:val="004C052D"/>
    <w:rsid w:val="004C2C52"/>
    <w:rsid w:val="004C5C95"/>
    <w:rsid w:val="004C784D"/>
    <w:rsid w:val="004D290D"/>
    <w:rsid w:val="004D3832"/>
    <w:rsid w:val="004D437C"/>
    <w:rsid w:val="004D6FE3"/>
    <w:rsid w:val="004E07D4"/>
    <w:rsid w:val="004E086F"/>
    <w:rsid w:val="004E14F9"/>
    <w:rsid w:val="004E1BD8"/>
    <w:rsid w:val="004E1F59"/>
    <w:rsid w:val="004E3487"/>
    <w:rsid w:val="004E4226"/>
    <w:rsid w:val="004E4DE6"/>
    <w:rsid w:val="004E50C1"/>
    <w:rsid w:val="004F1686"/>
    <w:rsid w:val="004F1823"/>
    <w:rsid w:val="004F193C"/>
    <w:rsid w:val="004F476A"/>
    <w:rsid w:val="00501D7C"/>
    <w:rsid w:val="00503378"/>
    <w:rsid w:val="00503981"/>
    <w:rsid w:val="00504178"/>
    <w:rsid w:val="00504988"/>
    <w:rsid w:val="00504EB9"/>
    <w:rsid w:val="005050FE"/>
    <w:rsid w:val="005111DA"/>
    <w:rsid w:val="005115DC"/>
    <w:rsid w:val="00512E8B"/>
    <w:rsid w:val="00513DFB"/>
    <w:rsid w:val="00513F21"/>
    <w:rsid w:val="0051404A"/>
    <w:rsid w:val="0052101F"/>
    <w:rsid w:val="00521D17"/>
    <w:rsid w:val="005231EE"/>
    <w:rsid w:val="00523C53"/>
    <w:rsid w:val="00523FA9"/>
    <w:rsid w:val="00525DA6"/>
    <w:rsid w:val="005265AB"/>
    <w:rsid w:val="005266FD"/>
    <w:rsid w:val="00526DF7"/>
    <w:rsid w:val="0053472E"/>
    <w:rsid w:val="00534776"/>
    <w:rsid w:val="00534DF3"/>
    <w:rsid w:val="00535867"/>
    <w:rsid w:val="00535892"/>
    <w:rsid w:val="005363DB"/>
    <w:rsid w:val="00541804"/>
    <w:rsid w:val="00542DD4"/>
    <w:rsid w:val="00545A9F"/>
    <w:rsid w:val="00547E6E"/>
    <w:rsid w:val="00555441"/>
    <w:rsid w:val="00555CC3"/>
    <w:rsid w:val="00556EC7"/>
    <w:rsid w:val="0055793D"/>
    <w:rsid w:val="00557B65"/>
    <w:rsid w:val="005637AF"/>
    <w:rsid w:val="0056783E"/>
    <w:rsid w:val="00570B1B"/>
    <w:rsid w:val="00570DD8"/>
    <w:rsid w:val="00574739"/>
    <w:rsid w:val="005760C0"/>
    <w:rsid w:val="00576760"/>
    <w:rsid w:val="005829A6"/>
    <w:rsid w:val="005835B0"/>
    <w:rsid w:val="0058573F"/>
    <w:rsid w:val="00586BCF"/>
    <w:rsid w:val="00586F24"/>
    <w:rsid w:val="00592D2A"/>
    <w:rsid w:val="00594E3F"/>
    <w:rsid w:val="005958EE"/>
    <w:rsid w:val="005959B5"/>
    <w:rsid w:val="00595FB5"/>
    <w:rsid w:val="005A222D"/>
    <w:rsid w:val="005A3C36"/>
    <w:rsid w:val="005A476F"/>
    <w:rsid w:val="005A79E1"/>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1C4"/>
    <w:rsid w:val="005D6489"/>
    <w:rsid w:val="005E0F32"/>
    <w:rsid w:val="005E3188"/>
    <w:rsid w:val="005E753A"/>
    <w:rsid w:val="005F38DB"/>
    <w:rsid w:val="005F5C99"/>
    <w:rsid w:val="005F60B6"/>
    <w:rsid w:val="005F63FB"/>
    <w:rsid w:val="005F7709"/>
    <w:rsid w:val="005F7898"/>
    <w:rsid w:val="00605A5A"/>
    <w:rsid w:val="00605E33"/>
    <w:rsid w:val="00605FA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360E7"/>
    <w:rsid w:val="0064407E"/>
    <w:rsid w:val="00656D23"/>
    <w:rsid w:val="00662A4F"/>
    <w:rsid w:val="00663D5D"/>
    <w:rsid w:val="00663DD8"/>
    <w:rsid w:val="006640D6"/>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0488"/>
    <w:rsid w:val="006C209B"/>
    <w:rsid w:val="006C4F8B"/>
    <w:rsid w:val="006C6923"/>
    <w:rsid w:val="006C6AD0"/>
    <w:rsid w:val="006D2D2A"/>
    <w:rsid w:val="006D61E5"/>
    <w:rsid w:val="006E0160"/>
    <w:rsid w:val="006E044C"/>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65DA"/>
    <w:rsid w:val="00717151"/>
    <w:rsid w:val="00717C64"/>
    <w:rsid w:val="007201B4"/>
    <w:rsid w:val="00724AB1"/>
    <w:rsid w:val="00724D55"/>
    <w:rsid w:val="00725EA2"/>
    <w:rsid w:val="007262D5"/>
    <w:rsid w:val="007303CD"/>
    <w:rsid w:val="007316C4"/>
    <w:rsid w:val="0073402D"/>
    <w:rsid w:val="00734A4C"/>
    <w:rsid w:val="00734D76"/>
    <w:rsid w:val="0073534D"/>
    <w:rsid w:val="0073718F"/>
    <w:rsid w:val="00737F71"/>
    <w:rsid w:val="0074374B"/>
    <w:rsid w:val="00745191"/>
    <w:rsid w:val="007467F9"/>
    <w:rsid w:val="00747F1A"/>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8DC"/>
    <w:rsid w:val="00781EA4"/>
    <w:rsid w:val="0078201E"/>
    <w:rsid w:val="007826CF"/>
    <w:rsid w:val="00783CDE"/>
    <w:rsid w:val="007842FF"/>
    <w:rsid w:val="00786B70"/>
    <w:rsid w:val="007903B3"/>
    <w:rsid w:val="00792277"/>
    <w:rsid w:val="007931BD"/>
    <w:rsid w:val="00795759"/>
    <w:rsid w:val="007963DA"/>
    <w:rsid w:val="007A5701"/>
    <w:rsid w:val="007A6C1F"/>
    <w:rsid w:val="007B0009"/>
    <w:rsid w:val="007B2E3F"/>
    <w:rsid w:val="007B76BF"/>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938"/>
    <w:rsid w:val="007F38E3"/>
    <w:rsid w:val="007F49FD"/>
    <w:rsid w:val="007F5D1F"/>
    <w:rsid w:val="007F624D"/>
    <w:rsid w:val="007F676C"/>
    <w:rsid w:val="0080011D"/>
    <w:rsid w:val="008045F1"/>
    <w:rsid w:val="00805322"/>
    <w:rsid w:val="008110E2"/>
    <w:rsid w:val="008112B4"/>
    <w:rsid w:val="008128F2"/>
    <w:rsid w:val="00813D20"/>
    <w:rsid w:val="00814AEF"/>
    <w:rsid w:val="00815EB8"/>
    <w:rsid w:val="00817216"/>
    <w:rsid w:val="0081793C"/>
    <w:rsid w:val="008209AD"/>
    <w:rsid w:val="008266E6"/>
    <w:rsid w:val="00827D2F"/>
    <w:rsid w:val="00832213"/>
    <w:rsid w:val="00832E46"/>
    <w:rsid w:val="00835419"/>
    <w:rsid w:val="00840098"/>
    <w:rsid w:val="0084031F"/>
    <w:rsid w:val="00844173"/>
    <w:rsid w:val="00850AF3"/>
    <w:rsid w:val="00854A51"/>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A6D9E"/>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D5994"/>
    <w:rsid w:val="008E45EB"/>
    <w:rsid w:val="008E4871"/>
    <w:rsid w:val="008E4AF8"/>
    <w:rsid w:val="008E4D72"/>
    <w:rsid w:val="008E6275"/>
    <w:rsid w:val="008E79E0"/>
    <w:rsid w:val="008F00E5"/>
    <w:rsid w:val="008F28E8"/>
    <w:rsid w:val="008F487C"/>
    <w:rsid w:val="00901332"/>
    <w:rsid w:val="009050F5"/>
    <w:rsid w:val="0090511A"/>
    <w:rsid w:val="0090662E"/>
    <w:rsid w:val="00907D30"/>
    <w:rsid w:val="009127D4"/>
    <w:rsid w:val="009134ED"/>
    <w:rsid w:val="009135B2"/>
    <w:rsid w:val="009138BC"/>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042F"/>
    <w:rsid w:val="009A183B"/>
    <w:rsid w:val="009A1E38"/>
    <w:rsid w:val="009A5EA8"/>
    <w:rsid w:val="009B0B07"/>
    <w:rsid w:val="009B0CBD"/>
    <w:rsid w:val="009B1545"/>
    <w:rsid w:val="009B1879"/>
    <w:rsid w:val="009B405A"/>
    <w:rsid w:val="009B429D"/>
    <w:rsid w:val="009B453D"/>
    <w:rsid w:val="009C0509"/>
    <w:rsid w:val="009C2649"/>
    <w:rsid w:val="009C2CE8"/>
    <w:rsid w:val="009C351E"/>
    <w:rsid w:val="009C36F4"/>
    <w:rsid w:val="009D0704"/>
    <w:rsid w:val="009D0940"/>
    <w:rsid w:val="009D22EC"/>
    <w:rsid w:val="009D4C44"/>
    <w:rsid w:val="009D64B1"/>
    <w:rsid w:val="009E0F01"/>
    <w:rsid w:val="009E1494"/>
    <w:rsid w:val="009E4B54"/>
    <w:rsid w:val="009E5127"/>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1742A"/>
    <w:rsid w:val="00A21289"/>
    <w:rsid w:val="00A24DED"/>
    <w:rsid w:val="00A26F20"/>
    <w:rsid w:val="00A26F59"/>
    <w:rsid w:val="00A27FAD"/>
    <w:rsid w:val="00A302C2"/>
    <w:rsid w:val="00A3115B"/>
    <w:rsid w:val="00A31628"/>
    <w:rsid w:val="00A32797"/>
    <w:rsid w:val="00A32A7E"/>
    <w:rsid w:val="00A331D0"/>
    <w:rsid w:val="00A33F5D"/>
    <w:rsid w:val="00A34308"/>
    <w:rsid w:val="00A3683A"/>
    <w:rsid w:val="00A37B1B"/>
    <w:rsid w:val="00A40236"/>
    <w:rsid w:val="00A408FE"/>
    <w:rsid w:val="00A40FE7"/>
    <w:rsid w:val="00A41663"/>
    <w:rsid w:val="00A43F03"/>
    <w:rsid w:val="00A44321"/>
    <w:rsid w:val="00A4753A"/>
    <w:rsid w:val="00A513E4"/>
    <w:rsid w:val="00A5371D"/>
    <w:rsid w:val="00A564A5"/>
    <w:rsid w:val="00A61A79"/>
    <w:rsid w:val="00A6317D"/>
    <w:rsid w:val="00A64089"/>
    <w:rsid w:val="00A64599"/>
    <w:rsid w:val="00A64E8E"/>
    <w:rsid w:val="00A6600C"/>
    <w:rsid w:val="00A677FA"/>
    <w:rsid w:val="00A73175"/>
    <w:rsid w:val="00A73CF7"/>
    <w:rsid w:val="00A73DDC"/>
    <w:rsid w:val="00A75061"/>
    <w:rsid w:val="00A77406"/>
    <w:rsid w:val="00A80188"/>
    <w:rsid w:val="00A801C0"/>
    <w:rsid w:val="00A825DC"/>
    <w:rsid w:val="00A82F7E"/>
    <w:rsid w:val="00A8557B"/>
    <w:rsid w:val="00A85E15"/>
    <w:rsid w:val="00A86074"/>
    <w:rsid w:val="00A86D82"/>
    <w:rsid w:val="00A90EAD"/>
    <w:rsid w:val="00A93CB0"/>
    <w:rsid w:val="00A94205"/>
    <w:rsid w:val="00A951CD"/>
    <w:rsid w:val="00A96FBA"/>
    <w:rsid w:val="00AA1CA9"/>
    <w:rsid w:val="00AA2E60"/>
    <w:rsid w:val="00AA3C7F"/>
    <w:rsid w:val="00AA413F"/>
    <w:rsid w:val="00AA5316"/>
    <w:rsid w:val="00AB0CAE"/>
    <w:rsid w:val="00AB0E67"/>
    <w:rsid w:val="00AB2ED1"/>
    <w:rsid w:val="00AB434D"/>
    <w:rsid w:val="00AB473C"/>
    <w:rsid w:val="00AC123D"/>
    <w:rsid w:val="00AC1FD1"/>
    <w:rsid w:val="00AC2EAE"/>
    <w:rsid w:val="00AC7A6D"/>
    <w:rsid w:val="00AC7CCA"/>
    <w:rsid w:val="00AD14C0"/>
    <w:rsid w:val="00AD1B66"/>
    <w:rsid w:val="00AD1C3C"/>
    <w:rsid w:val="00AD7947"/>
    <w:rsid w:val="00AE118E"/>
    <w:rsid w:val="00AE12DC"/>
    <w:rsid w:val="00AE52DA"/>
    <w:rsid w:val="00AE7A4E"/>
    <w:rsid w:val="00AF04CA"/>
    <w:rsid w:val="00AF0A08"/>
    <w:rsid w:val="00AF144A"/>
    <w:rsid w:val="00AF1DC9"/>
    <w:rsid w:val="00AF3638"/>
    <w:rsid w:val="00AF53E9"/>
    <w:rsid w:val="00AF5660"/>
    <w:rsid w:val="00AF5ADD"/>
    <w:rsid w:val="00AF6A2B"/>
    <w:rsid w:val="00AF6AD5"/>
    <w:rsid w:val="00B0350D"/>
    <w:rsid w:val="00B04006"/>
    <w:rsid w:val="00B12A81"/>
    <w:rsid w:val="00B17A98"/>
    <w:rsid w:val="00B20635"/>
    <w:rsid w:val="00B217E7"/>
    <w:rsid w:val="00B229F0"/>
    <w:rsid w:val="00B233B5"/>
    <w:rsid w:val="00B234D4"/>
    <w:rsid w:val="00B25F06"/>
    <w:rsid w:val="00B30F86"/>
    <w:rsid w:val="00B31D43"/>
    <w:rsid w:val="00B35699"/>
    <w:rsid w:val="00B37824"/>
    <w:rsid w:val="00B406F6"/>
    <w:rsid w:val="00B41E7C"/>
    <w:rsid w:val="00B42BAE"/>
    <w:rsid w:val="00B43688"/>
    <w:rsid w:val="00B472E0"/>
    <w:rsid w:val="00B478A8"/>
    <w:rsid w:val="00B50010"/>
    <w:rsid w:val="00B51E42"/>
    <w:rsid w:val="00B556F1"/>
    <w:rsid w:val="00B56C28"/>
    <w:rsid w:val="00B608E6"/>
    <w:rsid w:val="00B60F61"/>
    <w:rsid w:val="00B61A33"/>
    <w:rsid w:val="00B625AA"/>
    <w:rsid w:val="00B63792"/>
    <w:rsid w:val="00B6507B"/>
    <w:rsid w:val="00B712C5"/>
    <w:rsid w:val="00B7147F"/>
    <w:rsid w:val="00B749F1"/>
    <w:rsid w:val="00B77DAE"/>
    <w:rsid w:val="00B8083B"/>
    <w:rsid w:val="00B81218"/>
    <w:rsid w:val="00B81837"/>
    <w:rsid w:val="00B82154"/>
    <w:rsid w:val="00B8263E"/>
    <w:rsid w:val="00B8536D"/>
    <w:rsid w:val="00B864FA"/>
    <w:rsid w:val="00B87847"/>
    <w:rsid w:val="00B87A01"/>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8CD"/>
    <w:rsid w:val="00BE2DF5"/>
    <w:rsid w:val="00BE3EFE"/>
    <w:rsid w:val="00BE4E6E"/>
    <w:rsid w:val="00BE5CEB"/>
    <w:rsid w:val="00BE5E91"/>
    <w:rsid w:val="00BF09D3"/>
    <w:rsid w:val="00BF28C2"/>
    <w:rsid w:val="00BF4382"/>
    <w:rsid w:val="00BF481F"/>
    <w:rsid w:val="00BF53E8"/>
    <w:rsid w:val="00C03B59"/>
    <w:rsid w:val="00C046D3"/>
    <w:rsid w:val="00C05526"/>
    <w:rsid w:val="00C056A8"/>
    <w:rsid w:val="00C05A99"/>
    <w:rsid w:val="00C06314"/>
    <w:rsid w:val="00C11360"/>
    <w:rsid w:val="00C13A31"/>
    <w:rsid w:val="00C145FF"/>
    <w:rsid w:val="00C14CEF"/>
    <w:rsid w:val="00C14EB3"/>
    <w:rsid w:val="00C15AEF"/>
    <w:rsid w:val="00C20081"/>
    <w:rsid w:val="00C208FD"/>
    <w:rsid w:val="00C20BC5"/>
    <w:rsid w:val="00C21A2E"/>
    <w:rsid w:val="00C23A57"/>
    <w:rsid w:val="00C244EA"/>
    <w:rsid w:val="00C25806"/>
    <w:rsid w:val="00C275B8"/>
    <w:rsid w:val="00C27C2A"/>
    <w:rsid w:val="00C27C64"/>
    <w:rsid w:val="00C32E3B"/>
    <w:rsid w:val="00C33E33"/>
    <w:rsid w:val="00C35E79"/>
    <w:rsid w:val="00C36578"/>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55786"/>
    <w:rsid w:val="00C608E7"/>
    <w:rsid w:val="00C61517"/>
    <w:rsid w:val="00C61B81"/>
    <w:rsid w:val="00C64EE0"/>
    <w:rsid w:val="00C65E8D"/>
    <w:rsid w:val="00C66EAF"/>
    <w:rsid w:val="00C724C4"/>
    <w:rsid w:val="00C7789E"/>
    <w:rsid w:val="00C7796B"/>
    <w:rsid w:val="00C805D4"/>
    <w:rsid w:val="00C8127E"/>
    <w:rsid w:val="00C836AF"/>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53"/>
    <w:rsid w:val="00CB7AF0"/>
    <w:rsid w:val="00CC1A74"/>
    <w:rsid w:val="00CC4652"/>
    <w:rsid w:val="00CC55CD"/>
    <w:rsid w:val="00CC7136"/>
    <w:rsid w:val="00CD3484"/>
    <w:rsid w:val="00CD5948"/>
    <w:rsid w:val="00CD5BDF"/>
    <w:rsid w:val="00CD5DC2"/>
    <w:rsid w:val="00CD65D9"/>
    <w:rsid w:val="00CD6FE9"/>
    <w:rsid w:val="00CE6333"/>
    <w:rsid w:val="00CF1B1A"/>
    <w:rsid w:val="00CF2F0B"/>
    <w:rsid w:val="00CF357F"/>
    <w:rsid w:val="00CF3E1D"/>
    <w:rsid w:val="00CF46A5"/>
    <w:rsid w:val="00D0307E"/>
    <w:rsid w:val="00D03223"/>
    <w:rsid w:val="00D053AF"/>
    <w:rsid w:val="00D05EF2"/>
    <w:rsid w:val="00D06D70"/>
    <w:rsid w:val="00D1070D"/>
    <w:rsid w:val="00D17395"/>
    <w:rsid w:val="00D2119F"/>
    <w:rsid w:val="00D25830"/>
    <w:rsid w:val="00D25F0D"/>
    <w:rsid w:val="00D26696"/>
    <w:rsid w:val="00D30193"/>
    <w:rsid w:val="00D31DB8"/>
    <w:rsid w:val="00D3274F"/>
    <w:rsid w:val="00D3489F"/>
    <w:rsid w:val="00D37500"/>
    <w:rsid w:val="00D41800"/>
    <w:rsid w:val="00D41C63"/>
    <w:rsid w:val="00D45896"/>
    <w:rsid w:val="00D50619"/>
    <w:rsid w:val="00D50FD4"/>
    <w:rsid w:val="00D52AD4"/>
    <w:rsid w:val="00D52E2B"/>
    <w:rsid w:val="00D53D6F"/>
    <w:rsid w:val="00D54B88"/>
    <w:rsid w:val="00D54D13"/>
    <w:rsid w:val="00D55D75"/>
    <w:rsid w:val="00D60CC3"/>
    <w:rsid w:val="00D61172"/>
    <w:rsid w:val="00D653E4"/>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369"/>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519C"/>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2859"/>
    <w:rsid w:val="00DE4E1E"/>
    <w:rsid w:val="00DF058B"/>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042B"/>
    <w:rsid w:val="00E51731"/>
    <w:rsid w:val="00E528E0"/>
    <w:rsid w:val="00E5392D"/>
    <w:rsid w:val="00E56AC4"/>
    <w:rsid w:val="00E628D8"/>
    <w:rsid w:val="00E63184"/>
    <w:rsid w:val="00E64E73"/>
    <w:rsid w:val="00E71FAF"/>
    <w:rsid w:val="00E737D6"/>
    <w:rsid w:val="00E810ED"/>
    <w:rsid w:val="00E8283E"/>
    <w:rsid w:val="00E83A16"/>
    <w:rsid w:val="00E87BE0"/>
    <w:rsid w:val="00E90151"/>
    <w:rsid w:val="00E933A1"/>
    <w:rsid w:val="00E972EA"/>
    <w:rsid w:val="00E977A4"/>
    <w:rsid w:val="00E97FC3"/>
    <w:rsid w:val="00EA0414"/>
    <w:rsid w:val="00EA136D"/>
    <w:rsid w:val="00EA18E1"/>
    <w:rsid w:val="00EA1B8A"/>
    <w:rsid w:val="00EA1C4A"/>
    <w:rsid w:val="00EA2505"/>
    <w:rsid w:val="00EA2539"/>
    <w:rsid w:val="00EA377E"/>
    <w:rsid w:val="00EA5084"/>
    <w:rsid w:val="00EB2EB7"/>
    <w:rsid w:val="00EB3272"/>
    <w:rsid w:val="00EB38BF"/>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07E6"/>
    <w:rsid w:val="00EF0DEE"/>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C8D"/>
    <w:rsid w:val="00F14C16"/>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41DF3"/>
    <w:rsid w:val="00F51D1D"/>
    <w:rsid w:val="00F55996"/>
    <w:rsid w:val="00F608D4"/>
    <w:rsid w:val="00F6270F"/>
    <w:rsid w:val="00F672F0"/>
    <w:rsid w:val="00F70D3E"/>
    <w:rsid w:val="00F72261"/>
    <w:rsid w:val="00F7519E"/>
    <w:rsid w:val="00F808BF"/>
    <w:rsid w:val="00F81944"/>
    <w:rsid w:val="00F82B77"/>
    <w:rsid w:val="00F87267"/>
    <w:rsid w:val="00F87A76"/>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7FB"/>
    <w:rsid w:val="00FB0E27"/>
    <w:rsid w:val="00FB1D87"/>
    <w:rsid w:val="00FB3085"/>
    <w:rsid w:val="00FB4B79"/>
    <w:rsid w:val="00FB4D76"/>
    <w:rsid w:val="00FB4FC2"/>
    <w:rsid w:val="00FB7494"/>
    <w:rsid w:val="00FC0622"/>
    <w:rsid w:val="00FC17C1"/>
    <w:rsid w:val="00FC18A1"/>
    <w:rsid w:val="00FC3628"/>
    <w:rsid w:val="00FC3DC7"/>
    <w:rsid w:val="00FC4677"/>
    <w:rsid w:val="00FD30D9"/>
    <w:rsid w:val="00FD37A9"/>
    <w:rsid w:val="00FD3AE3"/>
    <w:rsid w:val="00FD40BE"/>
    <w:rsid w:val="00FD5506"/>
    <w:rsid w:val="00FD66C0"/>
    <w:rsid w:val="00FE0515"/>
    <w:rsid w:val="00FE36C8"/>
    <w:rsid w:val="00FE67B2"/>
    <w:rsid w:val="00FE6F3B"/>
    <w:rsid w:val="00FE7DAD"/>
    <w:rsid w:val="00FF14DB"/>
    <w:rsid w:val="00FF2081"/>
    <w:rsid w:val="00FF2405"/>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D05394FD-3985-493F-AE41-09AF359EF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uiPriority w:val="20"/>
    <w:qFormat/>
    <w:rsid w:val="00AD14C0"/>
    <w:rPr>
      <w:i/>
      <w:iCs/>
    </w:rPr>
  </w:style>
  <w:style w:type="character" w:styleId="Refdecomentario">
    <w:name w:val="annotation reference"/>
    <w:uiPriority w:val="99"/>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1"/>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rsid w:val="00AD14C0"/>
  </w:style>
  <w:style w:type="paragraph" w:styleId="Piedepgina">
    <w:name w:val="footer"/>
    <w:basedOn w:val="Normal"/>
    <w:link w:val="PiedepginaCar"/>
    <w:uiPriority w:val="99"/>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uiPriority w:val="1"/>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5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qFormat/>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miestilo">
    <w:name w:val="mi estilo"/>
    <w:basedOn w:val="Normal"/>
    <w:link w:val="miestiloCar"/>
    <w:qFormat/>
    <w:rsid w:val="007B0009"/>
    <w:pPr>
      <w:spacing w:before="120" w:after="0" w:line="240" w:lineRule="auto"/>
      <w:ind w:firstLine="204"/>
      <w:jc w:val="both"/>
    </w:pPr>
    <w:rPr>
      <w:rFonts w:ascii="Times New Roman" w:eastAsia="Times New Roman" w:hAnsi="Times New Roman"/>
      <w:sz w:val="20"/>
      <w:szCs w:val="20"/>
    </w:rPr>
  </w:style>
  <w:style w:type="character" w:customStyle="1" w:styleId="miestiloCar">
    <w:name w:val="mi estilo Car"/>
    <w:basedOn w:val="Fuentedeprrafopredeter"/>
    <w:link w:val="miestilo"/>
    <w:rsid w:val="007B0009"/>
    <w:rPr>
      <w:rFonts w:ascii="Times New Roman" w:eastAsia="Times New Roman" w:hAnsi="Times New Roman"/>
      <w:lang w:val="es-EC" w:eastAsia="en-US"/>
    </w:rPr>
  </w:style>
  <w:style w:type="character" w:customStyle="1" w:styleId="a">
    <w:name w:val="a"/>
    <w:basedOn w:val="Fuentedeprrafopredeter"/>
    <w:rsid w:val="007818DC"/>
  </w:style>
  <w:style w:type="character" w:customStyle="1" w:styleId="l6">
    <w:name w:val="l6"/>
    <w:basedOn w:val="Fuentedeprrafopredeter"/>
    <w:rsid w:val="007818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Hoja1!$B$1:$L$2</c:f>
              <c:multiLvlStrCache>
                <c:ptCount val="11"/>
                <c:lvl>
                  <c:pt idx="0">
                    <c:v>D.F (dias)</c:v>
                  </c:pt>
                  <c:pt idx="1">
                    <c:v>D.F (dias)</c:v>
                  </c:pt>
                  <c:pt idx="2">
                    <c:v>D.F (dias)</c:v>
                  </c:pt>
                  <c:pt idx="3">
                    <c:v>D.F (dias)</c:v>
                  </c:pt>
                  <c:pt idx="4">
                    <c:v>D.F (dias)</c:v>
                  </c:pt>
                  <c:pt idx="5">
                    <c:v>D.F (dias)</c:v>
                  </c:pt>
                  <c:pt idx="6">
                    <c:v>D.F (dias)</c:v>
                  </c:pt>
                  <c:pt idx="7">
                    <c:v>D.F (dias)</c:v>
                  </c:pt>
                  <c:pt idx="8">
                    <c:v>D.F (dias)</c:v>
                  </c:pt>
                  <c:pt idx="9">
                    <c:v>D.F (dias)</c:v>
                  </c:pt>
                  <c:pt idx="10">
                    <c:v>D.F (dias)</c:v>
                  </c:pt>
                </c:lvl>
                <c:lvl>
                  <c:pt idx="0">
                    <c:v>T 1</c:v>
                  </c:pt>
                  <c:pt idx="1">
                    <c:v>T 2</c:v>
                  </c:pt>
                  <c:pt idx="2">
                    <c:v>T 3</c:v>
                  </c:pt>
                  <c:pt idx="3">
                    <c:v>T 4</c:v>
                  </c:pt>
                  <c:pt idx="4">
                    <c:v>T 5</c:v>
                  </c:pt>
                  <c:pt idx="5">
                    <c:v>T 6</c:v>
                  </c:pt>
                  <c:pt idx="6">
                    <c:v>T 7</c:v>
                  </c:pt>
                  <c:pt idx="7">
                    <c:v>T 8</c:v>
                  </c:pt>
                  <c:pt idx="8">
                    <c:v>T 9</c:v>
                  </c:pt>
                  <c:pt idx="9">
                    <c:v>T 10</c:v>
                  </c:pt>
                  <c:pt idx="10">
                    <c:v>T 11</c:v>
                  </c:pt>
                </c:lvl>
              </c:multiLvlStrCache>
            </c:multiLvlStrRef>
          </c:cat>
          <c:val>
            <c:numRef>
              <c:f>Hoja1!$B$3:$L$3</c:f>
              <c:numCache>
                <c:formatCode>General</c:formatCode>
                <c:ptCount val="11"/>
                <c:pt idx="0">
                  <c:v>19.5</c:v>
                </c:pt>
                <c:pt idx="1">
                  <c:v>26.5</c:v>
                </c:pt>
                <c:pt idx="2">
                  <c:v>19.5</c:v>
                </c:pt>
                <c:pt idx="3">
                  <c:v>26.5</c:v>
                </c:pt>
                <c:pt idx="4">
                  <c:v>18</c:v>
                </c:pt>
                <c:pt idx="5">
                  <c:v>28</c:v>
                </c:pt>
                <c:pt idx="6">
                  <c:v>23</c:v>
                </c:pt>
                <c:pt idx="7">
                  <c:v>23</c:v>
                </c:pt>
                <c:pt idx="8">
                  <c:v>23</c:v>
                </c:pt>
                <c:pt idx="9">
                  <c:v>23</c:v>
                </c:pt>
                <c:pt idx="10">
                  <c:v>23</c:v>
                </c:pt>
              </c:numCache>
            </c:numRef>
          </c:val>
          <c:extLst xmlns:c16r2="http://schemas.microsoft.com/office/drawing/2015/06/chart">
            <c:ext xmlns:c16="http://schemas.microsoft.com/office/drawing/2014/chart" uri="{C3380CC4-5D6E-409C-BE32-E72D297353CC}">
              <c16:uniqueId val="{00000000-E06C-492A-8FCE-79414AF56A3C}"/>
            </c:ext>
          </c:extLst>
        </c:ser>
        <c:ser>
          <c:idx val="1"/>
          <c:order val="1"/>
          <c:invertIfNegative val="0"/>
          <c:dLbls>
            <c:dLbl>
              <c:idx val="1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1-E06C-492A-8FCE-79414AF56A3C}"/>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Hoja1!$B$1:$L$2</c:f>
              <c:multiLvlStrCache>
                <c:ptCount val="11"/>
                <c:lvl>
                  <c:pt idx="0">
                    <c:v>D.F (dias)</c:v>
                  </c:pt>
                  <c:pt idx="1">
                    <c:v>D.F (dias)</c:v>
                  </c:pt>
                  <c:pt idx="2">
                    <c:v>D.F (dias)</c:v>
                  </c:pt>
                  <c:pt idx="3">
                    <c:v>D.F (dias)</c:v>
                  </c:pt>
                  <c:pt idx="4">
                    <c:v>D.F (dias)</c:v>
                  </c:pt>
                  <c:pt idx="5">
                    <c:v>D.F (dias)</c:v>
                  </c:pt>
                  <c:pt idx="6">
                    <c:v>D.F (dias)</c:v>
                  </c:pt>
                  <c:pt idx="7">
                    <c:v>D.F (dias)</c:v>
                  </c:pt>
                  <c:pt idx="8">
                    <c:v>D.F (dias)</c:v>
                  </c:pt>
                  <c:pt idx="9">
                    <c:v>D.F (dias)</c:v>
                  </c:pt>
                  <c:pt idx="10">
                    <c:v>D.F (dias)</c:v>
                  </c:pt>
                </c:lvl>
                <c:lvl>
                  <c:pt idx="0">
                    <c:v>T 1</c:v>
                  </c:pt>
                  <c:pt idx="1">
                    <c:v>T 2</c:v>
                  </c:pt>
                  <c:pt idx="2">
                    <c:v>T 3</c:v>
                  </c:pt>
                  <c:pt idx="3">
                    <c:v>T 4</c:v>
                  </c:pt>
                  <c:pt idx="4">
                    <c:v>T 5</c:v>
                  </c:pt>
                  <c:pt idx="5">
                    <c:v>T 6</c:v>
                  </c:pt>
                  <c:pt idx="6">
                    <c:v>T 7</c:v>
                  </c:pt>
                  <c:pt idx="7">
                    <c:v>T 8</c:v>
                  </c:pt>
                  <c:pt idx="8">
                    <c:v>T 9</c:v>
                  </c:pt>
                  <c:pt idx="9">
                    <c:v>T 10</c:v>
                  </c:pt>
                  <c:pt idx="10">
                    <c:v>T 11</c:v>
                  </c:pt>
                </c:lvl>
              </c:multiLvlStrCache>
            </c:multiLvlStrRef>
          </c:cat>
          <c:val>
            <c:numRef>
              <c:f>Hoja1!$B$4:$L$4</c:f>
              <c:numCache>
                <c:formatCode>General</c:formatCode>
                <c:ptCount val="11"/>
              </c:numCache>
            </c:numRef>
          </c:val>
          <c:extLst xmlns:c16r2="http://schemas.microsoft.com/office/drawing/2015/06/chart">
            <c:ext xmlns:c16="http://schemas.microsoft.com/office/drawing/2014/chart" uri="{C3380CC4-5D6E-409C-BE32-E72D297353CC}">
              <c16:uniqueId val="{00000002-E06C-492A-8FCE-79414AF56A3C}"/>
            </c:ext>
          </c:extLst>
        </c:ser>
        <c:ser>
          <c:idx val="2"/>
          <c:order val="2"/>
          <c:spPr>
            <a:solidFill>
              <a:srgbClr val="00B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Hoja1!$B$1:$L$2</c:f>
              <c:multiLvlStrCache>
                <c:ptCount val="11"/>
                <c:lvl>
                  <c:pt idx="0">
                    <c:v>D.F (dias)</c:v>
                  </c:pt>
                  <c:pt idx="1">
                    <c:v>D.F (dias)</c:v>
                  </c:pt>
                  <c:pt idx="2">
                    <c:v>D.F (dias)</c:v>
                  </c:pt>
                  <c:pt idx="3">
                    <c:v>D.F (dias)</c:v>
                  </c:pt>
                  <c:pt idx="4">
                    <c:v>D.F (dias)</c:v>
                  </c:pt>
                  <c:pt idx="5">
                    <c:v>D.F (dias)</c:v>
                  </c:pt>
                  <c:pt idx="6">
                    <c:v>D.F (dias)</c:v>
                  </c:pt>
                  <c:pt idx="7">
                    <c:v>D.F (dias)</c:v>
                  </c:pt>
                  <c:pt idx="8">
                    <c:v>D.F (dias)</c:v>
                  </c:pt>
                  <c:pt idx="9">
                    <c:v>D.F (dias)</c:v>
                  </c:pt>
                  <c:pt idx="10">
                    <c:v>D.F (dias)</c:v>
                  </c:pt>
                </c:lvl>
                <c:lvl>
                  <c:pt idx="0">
                    <c:v>T 1</c:v>
                  </c:pt>
                  <c:pt idx="1">
                    <c:v>T 2</c:v>
                  </c:pt>
                  <c:pt idx="2">
                    <c:v>T 3</c:v>
                  </c:pt>
                  <c:pt idx="3">
                    <c:v>T 4</c:v>
                  </c:pt>
                  <c:pt idx="4">
                    <c:v>T 5</c:v>
                  </c:pt>
                  <c:pt idx="5">
                    <c:v>T 6</c:v>
                  </c:pt>
                  <c:pt idx="6">
                    <c:v>T 7</c:v>
                  </c:pt>
                  <c:pt idx="7">
                    <c:v>T 8</c:v>
                  </c:pt>
                  <c:pt idx="8">
                    <c:v>T 9</c:v>
                  </c:pt>
                  <c:pt idx="9">
                    <c:v>T 10</c:v>
                  </c:pt>
                  <c:pt idx="10">
                    <c:v>T 11</c:v>
                  </c:pt>
                </c:lvl>
              </c:multiLvlStrCache>
            </c:multiLvlStrRef>
          </c:cat>
          <c:val>
            <c:numRef>
              <c:f>Hoja1!$B$5:$L$5</c:f>
              <c:numCache>
                <c:formatCode>General</c:formatCode>
                <c:ptCount val="11"/>
                <c:pt idx="0">
                  <c:v>16.7</c:v>
                </c:pt>
                <c:pt idx="1">
                  <c:v>20</c:v>
                </c:pt>
                <c:pt idx="2">
                  <c:v>17</c:v>
                </c:pt>
                <c:pt idx="3">
                  <c:v>22</c:v>
                </c:pt>
                <c:pt idx="4">
                  <c:v>16</c:v>
                </c:pt>
                <c:pt idx="5">
                  <c:v>24</c:v>
                </c:pt>
                <c:pt idx="6">
                  <c:v>20</c:v>
                </c:pt>
                <c:pt idx="7">
                  <c:v>20</c:v>
                </c:pt>
                <c:pt idx="8">
                  <c:v>20</c:v>
                </c:pt>
                <c:pt idx="9">
                  <c:v>20</c:v>
                </c:pt>
                <c:pt idx="10">
                  <c:v>20</c:v>
                </c:pt>
              </c:numCache>
            </c:numRef>
          </c:val>
          <c:extLst xmlns:c16r2="http://schemas.microsoft.com/office/drawing/2015/06/chart">
            <c:ext xmlns:c16="http://schemas.microsoft.com/office/drawing/2014/chart" uri="{C3380CC4-5D6E-409C-BE32-E72D297353CC}">
              <c16:uniqueId val="{00000003-E06C-492A-8FCE-79414AF56A3C}"/>
            </c:ext>
          </c:extLst>
        </c:ser>
        <c:ser>
          <c:idx val="3"/>
          <c:order val="3"/>
          <c:invertIfNegative val="0"/>
          <c:dLbls>
            <c:dLbl>
              <c:idx val="1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4-E06C-492A-8FCE-79414AF56A3C}"/>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Hoja1!$B$1:$L$2</c:f>
              <c:multiLvlStrCache>
                <c:ptCount val="11"/>
                <c:lvl>
                  <c:pt idx="0">
                    <c:v>D.F (dias)</c:v>
                  </c:pt>
                  <c:pt idx="1">
                    <c:v>D.F (dias)</c:v>
                  </c:pt>
                  <c:pt idx="2">
                    <c:v>D.F (dias)</c:v>
                  </c:pt>
                  <c:pt idx="3">
                    <c:v>D.F (dias)</c:v>
                  </c:pt>
                  <c:pt idx="4">
                    <c:v>D.F (dias)</c:v>
                  </c:pt>
                  <c:pt idx="5">
                    <c:v>D.F (dias)</c:v>
                  </c:pt>
                  <c:pt idx="6">
                    <c:v>D.F (dias)</c:v>
                  </c:pt>
                  <c:pt idx="7">
                    <c:v>D.F (dias)</c:v>
                  </c:pt>
                  <c:pt idx="8">
                    <c:v>D.F (dias)</c:v>
                  </c:pt>
                  <c:pt idx="9">
                    <c:v>D.F (dias)</c:v>
                  </c:pt>
                  <c:pt idx="10">
                    <c:v>D.F (dias)</c:v>
                  </c:pt>
                </c:lvl>
                <c:lvl>
                  <c:pt idx="0">
                    <c:v>T 1</c:v>
                  </c:pt>
                  <c:pt idx="1">
                    <c:v>T 2</c:v>
                  </c:pt>
                  <c:pt idx="2">
                    <c:v>T 3</c:v>
                  </c:pt>
                  <c:pt idx="3">
                    <c:v>T 4</c:v>
                  </c:pt>
                  <c:pt idx="4">
                    <c:v>T 5</c:v>
                  </c:pt>
                  <c:pt idx="5">
                    <c:v>T 6</c:v>
                  </c:pt>
                  <c:pt idx="6">
                    <c:v>T 7</c:v>
                  </c:pt>
                  <c:pt idx="7">
                    <c:v>T 8</c:v>
                  </c:pt>
                  <c:pt idx="8">
                    <c:v>T 9</c:v>
                  </c:pt>
                  <c:pt idx="9">
                    <c:v>T 10</c:v>
                  </c:pt>
                  <c:pt idx="10">
                    <c:v>T 11</c:v>
                  </c:pt>
                </c:lvl>
              </c:multiLvlStrCache>
            </c:multiLvlStrRef>
          </c:cat>
          <c:val>
            <c:numRef>
              <c:f>Hoja1!$B$6:$L$6</c:f>
              <c:numCache>
                <c:formatCode>General</c:formatCode>
                <c:ptCount val="11"/>
              </c:numCache>
            </c:numRef>
          </c:val>
          <c:extLst xmlns:c16r2="http://schemas.microsoft.com/office/drawing/2015/06/chart">
            <c:ext xmlns:c16="http://schemas.microsoft.com/office/drawing/2014/chart" uri="{C3380CC4-5D6E-409C-BE32-E72D297353CC}">
              <c16:uniqueId val="{00000005-E06C-492A-8FCE-79414AF56A3C}"/>
            </c:ext>
          </c:extLst>
        </c:ser>
        <c:ser>
          <c:idx val="4"/>
          <c:order val="4"/>
          <c:spPr>
            <a:solidFill>
              <a:srgbClr val="6600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Hoja1!$B$1:$L$2</c:f>
              <c:multiLvlStrCache>
                <c:ptCount val="11"/>
                <c:lvl>
                  <c:pt idx="0">
                    <c:v>D.F (dias)</c:v>
                  </c:pt>
                  <c:pt idx="1">
                    <c:v>D.F (dias)</c:v>
                  </c:pt>
                  <c:pt idx="2">
                    <c:v>D.F (dias)</c:v>
                  </c:pt>
                  <c:pt idx="3">
                    <c:v>D.F (dias)</c:v>
                  </c:pt>
                  <c:pt idx="4">
                    <c:v>D.F (dias)</c:v>
                  </c:pt>
                  <c:pt idx="5">
                    <c:v>D.F (dias)</c:v>
                  </c:pt>
                  <c:pt idx="6">
                    <c:v>D.F (dias)</c:v>
                  </c:pt>
                  <c:pt idx="7">
                    <c:v>D.F (dias)</c:v>
                  </c:pt>
                  <c:pt idx="8">
                    <c:v>D.F (dias)</c:v>
                  </c:pt>
                  <c:pt idx="9">
                    <c:v>D.F (dias)</c:v>
                  </c:pt>
                  <c:pt idx="10">
                    <c:v>D.F (dias)</c:v>
                  </c:pt>
                </c:lvl>
                <c:lvl>
                  <c:pt idx="0">
                    <c:v>T 1</c:v>
                  </c:pt>
                  <c:pt idx="1">
                    <c:v>T 2</c:v>
                  </c:pt>
                  <c:pt idx="2">
                    <c:v>T 3</c:v>
                  </c:pt>
                  <c:pt idx="3">
                    <c:v>T 4</c:v>
                  </c:pt>
                  <c:pt idx="4">
                    <c:v>T 5</c:v>
                  </c:pt>
                  <c:pt idx="5">
                    <c:v>T 6</c:v>
                  </c:pt>
                  <c:pt idx="6">
                    <c:v>T 7</c:v>
                  </c:pt>
                  <c:pt idx="7">
                    <c:v>T 8</c:v>
                  </c:pt>
                  <c:pt idx="8">
                    <c:v>T 9</c:v>
                  </c:pt>
                  <c:pt idx="9">
                    <c:v>T 10</c:v>
                  </c:pt>
                  <c:pt idx="10">
                    <c:v>T 11</c:v>
                  </c:pt>
                </c:lvl>
              </c:multiLvlStrCache>
            </c:multiLvlStrRef>
          </c:cat>
          <c:val>
            <c:numRef>
              <c:f>Hoja1!$B$7:$L$7</c:f>
              <c:numCache>
                <c:formatCode>General</c:formatCode>
                <c:ptCount val="11"/>
                <c:pt idx="0">
                  <c:v>8</c:v>
                </c:pt>
                <c:pt idx="1">
                  <c:v>16.5</c:v>
                </c:pt>
                <c:pt idx="2">
                  <c:v>8.5</c:v>
                </c:pt>
                <c:pt idx="3">
                  <c:v>11</c:v>
                </c:pt>
                <c:pt idx="4">
                  <c:v>9</c:v>
                </c:pt>
                <c:pt idx="5">
                  <c:v>14</c:v>
                </c:pt>
                <c:pt idx="6">
                  <c:v>11</c:v>
                </c:pt>
                <c:pt idx="7">
                  <c:v>12</c:v>
                </c:pt>
                <c:pt idx="8">
                  <c:v>10</c:v>
                </c:pt>
                <c:pt idx="9">
                  <c:v>11</c:v>
                </c:pt>
                <c:pt idx="10">
                  <c:v>11</c:v>
                </c:pt>
              </c:numCache>
            </c:numRef>
          </c:val>
          <c:extLst xmlns:c16r2="http://schemas.microsoft.com/office/drawing/2015/06/chart">
            <c:ext xmlns:c16="http://schemas.microsoft.com/office/drawing/2014/chart" uri="{C3380CC4-5D6E-409C-BE32-E72D297353CC}">
              <c16:uniqueId val="{00000006-E06C-492A-8FCE-79414AF56A3C}"/>
            </c:ext>
          </c:extLst>
        </c:ser>
        <c:ser>
          <c:idx val="5"/>
          <c:order val="5"/>
          <c:invertIfNegative val="0"/>
          <c:dLbls>
            <c:dLbl>
              <c:idx val="1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7-E06C-492A-8FCE-79414AF56A3C}"/>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Hoja1!$B$1:$L$2</c:f>
              <c:multiLvlStrCache>
                <c:ptCount val="11"/>
                <c:lvl>
                  <c:pt idx="0">
                    <c:v>D.F (dias)</c:v>
                  </c:pt>
                  <c:pt idx="1">
                    <c:v>D.F (dias)</c:v>
                  </c:pt>
                  <c:pt idx="2">
                    <c:v>D.F (dias)</c:v>
                  </c:pt>
                  <c:pt idx="3">
                    <c:v>D.F (dias)</c:v>
                  </c:pt>
                  <c:pt idx="4">
                    <c:v>D.F (dias)</c:v>
                  </c:pt>
                  <c:pt idx="5">
                    <c:v>D.F (dias)</c:v>
                  </c:pt>
                  <c:pt idx="6">
                    <c:v>D.F (dias)</c:v>
                  </c:pt>
                  <c:pt idx="7">
                    <c:v>D.F (dias)</c:v>
                  </c:pt>
                  <c:pt idx="8">
                    <c:v>D.F (dias)</c:v>
                  </c:pt>
                  <c:pt idx="9">
                    <c:v>D.F (dias)</c:v>
                  </c:pt>
                  <c:pt idx="10">
                    <c:v>D.F (dias)</c:v>
                  </c:pt>
                </c:lvl>
                <c:lvl>
                  <c:pt idx="0">
                    <c:v>T 1</c:v>
                  </c:pt>
                  <c:pt idx="1">
                    <c:v>T 2</c:v>
                  </c:pt>
                  <c:pt idx="2">
                    <c:v>T 3</c:v>
                  </c:pt>
                  <c:pt idx="3">
                    <c:v>T 4</c:v>
                  </c:pt>
                  <c:pt idx="4">
                    <c:v>T 5</c:v>
                  </c:pt>
                  <c:pt idx="5">
                    <c:v>T 6</c:v>
                  </c:pt>
                  <c:pt idx="6">
                    <c:v>T 7</c:v>
                  </c:pt>
                  <c:pt idx="7">
                    <c:v>T 8</c:v>
                  </c:pt>
                  <c:pt idx="8">
                    <c:v>T 9</c:v>
                  </c:pt>
                  <c:pt idx="9">
                    <c:v>T 10</c:v>
                  </c:pt>
                  <c:pt idx="10">
                    <c:v>T 11</c:v>
                  </c:pt>
                </c:lvl>
              </c:multiLvlStrCache>
            </c:multiLvlStrRef>
          </c:cat>
          <c:val>
            <c:numRef>
              <c:f>Hoja1!$B$8:$L$8</c:f>
              <c:numCache>
                <c:formatCode>General</c:formatCode>
                <c:ptCount val="11"/>
              </c:numCache>
            </c:numRef>
          </c:val>
          <c:extLst xmlns:c16r2="http://schemas.microsoft.com/office/drawing/2015/06/chart">
            <c:ext xmlns:c16="http://schemas.microsoft.com/office/drawing/2014/chart" uri="{C3380CC4-5D6E-409C-BE32-E72D297353CC}">
              <c16:uniqueId val="{00000008-E06C-492A-8FCE-79414AF56A3C}"/>
            </c:ext>
          </c:extLst>
        </c:ser>
        <c:ser>
          <c:idx val="6"/>
          <c:order val="6"/>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Hoja1!$B$1:$L$2</c:f>
              <c:multiLvlStrCache>
                <c:ptCount val="11"/>
                <c:lvl>
                  <c:pt idx="0">
                    <c:v>D.F (dias)</c:v>
                  </c:pt>
                  <c:pt idx="1">
                    <c:v>D.F (dias)</c:v>
                  </c:pt>
                  <c:pt idx="2">
                    <c:v>D.F (dias)</c:v>
                  </c:pt>
                  <c:pt idx="3">
                    <c:v>D.F (dias)</c:v>
                  </c:pt>
                  <c:pt idx="4">
                    <c:v>D.F (dias)</c:v>
                  </c:pt>
                  <c:pt idx="5">
                    <c:v>D.F (dias)</c:v>
                  </c:pt>
                  <c:pt idx="6">
                    <c:v>D.F (dias)</c:v>
                  </c:pt>
                  <c:pt idx="7">
                    <c:v>D.F (dias)</c:v>
                  </c:pt>
                  <c:pt idx="8">
                    <c:v>D.F (dias)</c:v>
                  </c:pt>
                  <c:pt idx="9">
                    <c:v>D.F (dias)</c:v>
                  </c:pt>
                  <c:pt idx="10">
                    <c:v>D.F (dias)</c:v>
                  </c:pt>
                </c:lvl>
                <c:lvl>
                  <c:pt idx="0">
                    <c:v>T 1</c:v>
                  </c:pt>
                  <c:pt idx="1">
                    <c:v>T 2</c:v>
                  </c:pt>
                  <c:pt idx="2">
                    <c:v>T 3</c:v>
                  </c:pt>
                  <c:pt idx="3">
                    <c:v>T 4</c:v>
                  </c:pt>
                  <c:pt idx="4">
                    <c:v>T 5</c:v>
                  </c:pt>
                  <c:pt idx="5">
                    <c:v>T 6</c:v>
                  </c:pt>
                  <c:pt idx="6">
                    <c:v>T 7</c:v>
                  </c:pt>
                  <c:pt idx="7">
                    <c:v>T 8</c:v>
                  </c:pt>
                  <c:pt idx="8">
                    <c:v>T 9</c:v>
                  </c:pt>
                  <c:pt idx="9">
                    <c:v>T 10</c:v>
                  </c:pt>
                  <c:pt idx="10">
                    <c:v>T 11</c:v>
                  </c:pt>
                </c:lvl>
              </c:multiLvlStrCache>
            </c:multiLvlStrRef>
          </c:cat>
          <c:val>
            <c:numRef>
              <c:f>Hoja1!$B$9:$L$9</c:f>
              <c:numCache>
                <c:formatCode>General</c:formatCode>
                <c:ptCount val="11"/>
                <c:pt idx="0">
                  <c:v>0</c:v>
                </c:pt>
                <c:pt idx="1">
                  <c:v>6</c:v>
                </c:pt>
                <c:pt idx="2">
                  <c:v>0</c:v>
                </c:pt>
                <c:pt idx="3">
                  <c:v>6.5</c:v>
                </c:pt>
                <c:pt idx="4">
                  <c:v>0</c:v>
                </c:pt>
                <c:pt idx="5">
                  <c:v>8.5</c:v>
                </c:pt>
                <c:pt idx="6">
                  <c:v>5</c:v>
                </c:pt>
                <c:pt idx="7">
                  <c:v>6</c:v>
                </c:pt>
                <c:pt idx="8">
                  <c:v>4</c:v>
                </c:pt>
                <c:pt idx="9">
                  <c:v>4</c:v>
                </c:pt>
                <c:pt idx="10">
                  <c:v>4</c:v>
                </c:pt>
              </c:numCache>
            </c:numRef>
          </c:val>
          <c:extLst xmlns:c16r2="http://schemas.microsoft.com/office/drawing/2015/06/chart">
            <c:ext xmlns:c16="http://schemas.microsoft.com/office/drawing/2014/chart" uri="{C3380CC4-5D6E-409C-BE32-E72D297353CC}">
              <c16:uniqueId val="{00000009-E06C-492A-8FCE-79414AF56A3C}"/>
            </c:ext>
          </c:extLst>
        </c:ser>
        <c:ser>
          <c:idx val="7"/>
          <c:order val="7"/>
          <c:spPr>
            <a:solidFill>
              <a:srgbClr val="FF006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Hoja1!$B$1:$L$2</c:f>
              <c:multiLvlStrCache>
                <c:ptCount val="11"/>
                <c:lvl>
                  <c:pt idx="0">
                    <c:v>D.F (dias)</c:v>
                  </c:pt>
                  <c:pt idx="1">
                    <c:v>D.F (dias)</c:v>
                  </c:pt>
                  <c:pt idx="2">
                    <c:v>D.F (dias)</c:v>
                  </c:pt>
                  <c:pt idx="3">
                    <c:v>D.F (dias)</c:v>
                  </c:pt>
                  <c:pt idx="4">
                    <c:v>D.F (dias)</c:v>
                  </c:pt>
                  <c:pt idx="5">
                    <c:v>D.F (dias)</c:v>
                  </c:pt>
                  <c:pt idx="6">
                    <c:v>D.F (dias)</c:v>
                  </c:pt>
                  <c:pt idx="7">
                    <c:v>D.F (dias)</c:v>
                  </c:pt>
                  <c:pt idx="8">
                    <c:v>D.F (dias)</c:v>
                  </c:pt>
                  <c:pt idx="9">
                    <c:v>D.F (dias)</c:v>
                  </c:pt>
                  <c:pt idx="10">
                    <c:v>D.F (dias)</c:v>
                  </c:pt>
                </c:lvl>
                <c:lvl>
                  <c:pt idx="0">
                    <c:v>T 1</c:v>
                  </c:pt>
                  <c:pt idx="1">
                    <c:v>T 2</c:v>
                  </c:pt>
                  <c:pt idx="2">
                    <c:v>T 3</c:v>
                  </c:pt>
                  <c:pt idx="3">
                    <c:v>T 4</c:v>
                  </c:pt>
                  <c:pt idx="4">
                    <c:v>T 5</c:v>
                  </c:pt>
                  <c:pt idx="5">
                    <c:v>T 6</c:v>
                  </c:pt>
                  <c:pt idx="6">
                    <c:v>T 7</c:v>
                  </c:pt>
                  <c:pt idx="7">
                    <c:v>T 8</c:v>
                  </c:pt>
                  <c:pt idx="8">
                    <c:v>T 9</c:v>
                  </c:pt>
                  <c:pt idx="9">
                    <c:v>T 10</c:v>
                  </c:pt>
                  <c:pt idx="10">
                    <c:v>T 11</c:v>
                  </c:pt>
                </c:lvl>
              </c:multiLvlStrCache>
            </c:multiLvlStrRef>
          </c:cat>
          <c:val>
            <c:numRef>
              <c:f>Hoja1!$B$10:$L$10</c:f>
              <c:numCache>
                <c:formatCode>General</c:formatCode>
                <c:ptCount val="11"/>
                <c:pt idx="6">
                  <c:v>3</c:v>
                </c:pt>
                <c:pt idx="7">
                  <c:v>4</c:v>
                </c:pt>
                <c:pt idx="8">
                  <c:v>0</c:v>
                </c:pt>
                <c:pt idx="9">
                  <c:v>0</c:v>
                </c:pt>
                <c:pt idx="10">
                  <c:v>0</c:v>
                </c:pt>
              </c:numCache>
            </c:numRef>
          </c:val>
          <c:extLst xmlns:c16r2="http://schemas.microsoft.com/office/drawing/2015/06/chart">
            <c:ext xmlns:c16="http://schemas.microsoft.com/office/drawing/2014/chart" uri="{C3380CC4-5D6E-409C-BE32-E72D297353CC}">
              <c16:uniqueId val="{0000000A-E06C-492A-8FCE-79414AF56A3C}"/>
            </c:ext>
          </c:extLst>
        </c:ser>
        <c:ser>
          <c:idx val="8"/>
          <c:order val="8"/>
          <c:spPr>
            <a:solidFill>
              <a:schemeClr val="accent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Hoja1!$B$1:$L$2</c:f>
              <c:multiLvlStrCache>
                <c:ptCount val="11"/>
                <c:lvl>
                  <c:pt idx="0">
                    <c:v>D.F (dias)</c:v>
                  </c:pt>
                  <c:pt idx="1">
                    <c:v>D.F (dias)</c:v>
                  </c:pt>
                  <c:pt idx="2">
                    <c:v>D.F (dias)</c:v>
                  </c:pt>
                  <c:pt idx="3">
                    <c:v>D.F (dias)</c:v>
                  </c:pt>
                  <c:pt idx="4">
                    <c:v>D.F (dias)</c:v>
                  </c:pt>
                  <c:pt idx="5">
                    <c:v>D.F (dias)</c:v>
                  </c:pt>
                  <c:pt idx="6">
                    <c:v>D.F (dias)</c:v>
                  </c:pt>
                  <c:pt idx="7">
                    <c:v>D.F (dias)</c:v>
                  </c:pt>
                  <c:pt idx="8">
                    <c:v>D.F (dias)</c:v>
                  </c:pt>
                  <c:pt idx="9">
                    <c:v>D.F (dias)</c:v>
                  </c:pt>
                  <c:pt idx="10">
                    <c:v>D.F (dias)</c:v>
                  </c:pt>
                </c:lvl>
                <c:lvl>
                  <c:pt idx="0">
                    <c:v>T 1</c:v>
                  </c:pt>
                  <c:pt idx="1">
                    <c:v>T 2</c:v>
                  </c:pt>
                  <c:pt idx="2">
                    <c:v>T 3</c:v>
                  </c:pt>
                  <c:pt idx="3">
                    <c:v>T 4</c:v>
                  </c:pt>
                  <c:pt idx="4">
                    <c:v>T 5</c:v>
                  </c:pt>
                  <c:pt idx="5">
                    <c:v>T 6</c:v>
                  </c:pt>
                  <c:pt idx="6">
                    <c:v>T 7</c:v>
                  </c:pt>
                  <c:pt idx="7">
                    <c:v>T 8</c:v>
                  </c:pt>
                  <c:pt idx="8">
                    <c:v>T 9</c:v>
                  </c:pt>
                  <c:pt idx="9">
                    <c:v>T 10</c:v>
                  </c:pt>
                  <c:pt idx="10">
                    <c:v>T 11</c:v>
                  </c:pt>
                </c:lvl>
              </c:multiLvlStrCache>
            </c:multiLvlStrRef>
          </c:cat>
          <c:val>
            <c:numRef>
              <c:f>Hoja1!$B$11:$L$11</c:f>
              <c:numCache>
                <c:formatCode>General</c:formatCode>
                <c:ptCount val="11"/>
                <c:pt idx="0">
                  <c:v>0</c:v>
                </c:pt>
                <c:pt idx="1">
                  <c:v>0</c:v>
                </c:pt>
                <c:pt idx="2">
                  <c:v>0</c:v>
                </c:pt>
                <c:pt idx="3">
                  <c:v>0</c:v>
                </c:pt>
                <c:pt idx="4">
                  <c:v>0</c:v>
                </c:pt>
                <c:pt idx="5">
                  <c:v>5</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B-E06C-492A-8FCE-79414AF56A3C}"/>
            </c:ext>
          </c:extLst>
        </c:ser>
        <c:ser>
          <c:idx val="9"/>
          <c:order val="9"/>
          <c:spPr>
            <a:solidFill>
              <a:srgbClr val="7030A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Hoja1!$B$1:$L$2</c:f>
              <c:multiLvlStrCache>
                <c:ptCount val="11"/>
                <c:lvl>
                  <c:pt idx="0">
                    <c:v>D.F (dias)</c:v>
                  </c:pt>
                  <c:pt idx="1">
                    <c:v>D.F (dias)</c:v>
                  </c:pt>
                  <c:pt idx="2">
                    <c:v>D.F (dias)</c:v>
                  </c:pt>
                  <c:pt idx="3">
                    <c:v>D.F (dias)</c:v>
                  </c:pt>
                  <c:pt idx="4">
                    <c:v>D.F (dias)</c:v>
                  </c:pt>
                  <c:pt idx="5">
                    <c:v>D.F (dias)</c:v>
                  </c:pt>
                  <c:pt idx="6">
                    <c:v>D.F (dias)</c:v>
                  </c:pt>
                  <c:pt idx="7">
                    <c:v>D.F (dias)</c:v>
                  </c:pt>
                  <c:pt idx="8">
                    <c:v>D.F (dias)</c:v>
                  </c:pt>
                  <c:pt idx="9">
                    <c:v>D.F (dias)</c:v>
                  </c:pt>
                  <c:pt idx="10">
                    <c:v>D.F (dias)</c:v>
                  </c:pt>
                </c:lvl>
                <c:lvl>
                  <c:pt idx="0">
                    <c:v>T 1</c:v>
                  </c:pt>
                  <c:pt idx="1">
                    <c:v>T 2</c:v>
                  </c:pt>
                  <c:pt idx="2">
                    <c:v>T 3</c:v>
                  </c:pt>
                  <c:pt idx="3">
                    <c:v>T 4</c:v>
                  </c:pt>
                  <c:pt idx="4">
                    <c:v>T 5</c:v>
                  </c:pt>
                  <c:pt idx="5">
                    <c:v>T 6</c:v>
                  </c:pt>
                  <c:pt idx="6">
                    <c:v>T 7</c:v>
                  </c:pt>
                  <c:pt idx="7">
                    <c:v>T 8</c:v>
                  </c:pt>
                  <c:pt idx="8">
                    <c:v>T 9</c:v>
                  </c:pt>
                  <c:pt idx="9">
                    <c:v>T 10</c:v>
                  </c:pt>
                  <c:pt idx="10">
                    <c:v>T 11</c:v>
                  </c:pt>
                </c:lvl>
              </c:multiLvlStrCache>
            </c:multiLvlStrRef>
          </c:cat>
          <c:val>
            <c:numRef>
              <c:f>Hoja1!$B$12:$L$12</c:f>
              <c:numCache>
                <c:formatCode>General</c:formatCode>
                <c:ptCount val="11"/>
                <c:pt idx="0">
                  <c:v>0</c:v>
                </c:pt>
                <c:pt idx="3">
                  <c:v>0</c:v>
                </c:pt>
                <c:pt idx="5">
                  <c:v>3</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C-E06C-492A-8FCE-79414AF56A3C}"/>
            </c:ext>
          </c:extLst>
        </c:ser>
        <c:ser>
          <c:idx val="10"/>
          <c:order val="1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Hoja1!$B$1:$L$2</c:f>
              <c:multiLvlStrCache>
                <c:ptCount val="11"/>
                <c:lvl>
                  <c:pt idx="0">
                    <c:v>D.F (dias)</c:v>
                  </c:pt>
                  <c:pt idx="1">
                    <c:v>D.F (dias)</c:v>
                  </c:pt>
                  <c:pt idx="2">
                    <c:v>D.F (dias)</c:v>
                  </c:pt>
                  <c:pt idx="3">
                    <c:v>D.F (dias)</c:v>
                  </c:pt>
                  <c:pt idx="4">
                    <c:v>D.F (dias)</c:v>
                  </c:pt>
                  <c:pt idx="5">
                    <c:v>D.F (dias)</c:v>
                  </c:pt>
                  <c:pt idx="6">
                    <c:v>D.F (dias)</c:v>
                  </c:pt>
                  <c:pt idx="7">
                    <c:v>D.F (dias)</c:v>
                  </c:pt>
                  <c:pt idx="8">
                    <c:v>D.F (dias)</c:v>
                  </c:pt>
                  <c:pt idx="9">
                    <c:v>D.F (dias)</c:v>
                  </c:pt>
                  <c:pt idx="10">
                    <c:v>D.F (dias)</c:v>
                  </c:pt>
                </c:lvl>
                <c:lvl>
                  <c:pt idx="0">
                    <c:v>T 1</c:v>
                  </c:pt>
                  <c:pt idx="1">
                    <c:v>T 2</c:v>
                  </c:pt>
                  <c:pt idx="2">
                    <c:v>T 3</c:v>
                  </c:pt>
                  <c:pt idx="3">
                    <c:v>T 4</c:v>
                  </c:pt>
                  <c:pt idx="4">
                    <c:v>T 5</c:v>
                  </c:pt>
                  <c:pt idx="5">
                    <c:v>T 6</c:v>
                  </c:pt>
                  <c:pt idx="6">
                    <c:v>T 7</c:v>
                  </c:pt>
                  <c:pt idx="7">
                    <c:v>T 8</c:v>
                  </c:pt>
                  <c:pt idx="8">
                    <c:v>T 9</c:v>
                  </c:pt>
                  <c:pt idx="9">
                    <c:v>T 10</c:v>
                  </c:pt>
                  <c:pt idx="10">
                    <c:v>T 11</c:v>
                  </c:pt>
                </c:lvl>
              </c:multiLvlStrCache>
            </c:multiLvlStrRef>
          </c:cat>
          <c:val>
            <c:numRef>
              <c:f>Hoja1!$B$13:$L$13</c:f>
              <c:numCache>
                <c:formatCode>General</c:formatCode>
                <c:ptCount val="11"/>
                <c:pt idx="0">
                  <c:v>0</c:v>
                </c:pt>
                <c:pt idx="1">
                  <c:v>0</c:v>
                </c:pt>
                <c:pt idx="2">
                  <c:v>0</c:v>
                </c:pt>
                <c:pt idx="3">
                  <c:v>0</c:v>
                </c:pt>
                <c:pt idx="4">
                  <c:v>0</c:v>
                </c:pt>
                <c:pt idx="5">
                  <c:v>3</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D-E06C-492A-8FCE-79414AF56A3C}"/>
            </c:ext>
          </c:extLst>
        </c:ser>
        <c:dLbls>
          <c:showLegendKey val="0"/>
          <c:showVal val="0"/>
          <c:showCatName val="0"/>
          <c:showSerName val="0"/>
          <c:showPercent val="0"/>
          <c:showBubbleSize val="0"/>
        </c:dLbls>
        <c:gapWidth val="150"/>
        <c:axId val="364046848"/>
        <c:axId val="364044496"/>
      </c:barChart>
      <c:catAx>
        <c:axId val="364046848"/>
        <c:scaling>
          <c:orientation val="minMax"/>
        </c:scaling>
        <c:delete val="0"/>
        <c:axPos val="b"/>
        <c:numFmt formatCode="General" sourceLinked="0"/>
        <c:majorTickMark val="none"/>
        <c:minorTickMark val="none"/>
        <c:tickLblPos val="nextTo"/>
        <c:crossAx val="364044496"/>
        <c:crosses val="autoZero"/>
        <c:auto val="1"/>
        <c:lblAlgn val="ctr"/>
        <c:lblOffset val="100"/>
        <c:noMultiLvlLbl val="0"/>
      </c:catAx>
      <c:valAx>
        <c:axId val="364044496"/>
        <c:scaling>
          <c:orientation val="minMax"/>
        </c:scaling>
        <c:delete val="0"/>
        <c:axPos val="l"/>
        <c:majorGridlines/>
        <c:title>
          <c:tx>
            <c:rich>
              <a:bodyPr/>
              <a:lstStyle/>
              <a:p>
                <a:pPr>
                  <a:defRPr/>
                </a:pPr>
                <a:r>
                  <a:rPr lang="es-PE"/>
                  <a:t>% Sólidos solubles (BRIX)</a:t>
                </a:r>
              </a:p>
            </c:rich>
          </c:tx>
          <c:overlay val="0"/>
        </c:title>
        <c:numFmt formatCode="General" sourceLinked="1"/>
        <c:majorTickMark val="none"/>
        <c:minorTickMark val="none"/>
        <c:tickLblPos val="nextTo"/>
        <c:crossAx val="364046848"/>
        <c:crosses val="autoZero"/>
        <c:crossBetween val="between"/>
      </c:valAx>
    </c:plotArea>
    <c:plotVisOnly val="1"/>
    <c:dispBlanksAs val="gap"/>
    <c:showDLblsOverMax val="0"/>
  </c:chart>
  <c:txPr>
    <a:bodyPr/>
    <a:lstStyle/>
    <a:p>
      <a:pPr>
        <a:defRPr sz="800">
          <a:latin typeface="Times New Roman" panose="02020603050405020304" pitchFamily="18" charset="0"/>
          <a:ea typeface="Tahoma" panose="020B0604030504040204" pitchFamily="34" charset="0"/>
          <a:cs typeface="Times New Roman" panose="02020603050405020304" pitchFamily="18" charset="0"/>
        </a:defRPr>
      </a:pPr>
      <a:endParaRPr lang="es-EC"/>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253045848607769E-2"/>
          <c:y val="3.462415558710899E-2"/>
          <c:w val="0.95874695415139222"/>
          <c:h val="0.8059676592150119"/>
        </c:manualLayout>
      </c:layout>
      <c:barChart>
        <c:barDir val="col"/>
        <c:grouping val="clustered"/>
        <c:varyColors val="0"/>
        <c:ser>
          <c:idx val="0"/>
          <c:order val="0"/>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Hoja2!$B$1:$L$2</c:f>
              <c:multiLvlStrCache>
                <c:ptCount val="11"/>
                <c:lvl>
                  <c:pt idx="0">
                    <c:v>D.F (dias)</c:v>
                  </c:pt>
                  <c:pt idx="1">
                    <c:v>D.F (dias)</c:v>
                  </c:pt>
                  <c:pt idx="2">
                    <c:v>D.F (dias)</c:v>
                  </c:pt>
                  <c:pt idx="3">
                    <c:v>D.F (dias)</c:v>
                  </c:pt>
                  <c:pt idx="4">
                    <c:v>D.F (dias)</c:v>
                  </c:pt>
                  <c:pt idx="5">
                    <c:v>D.F (dias)</c:v>
                  </c:pt>
                  <c:pt idx="6">
                    <c:v>D.F (dias)</c:v>
                  </c:pt>
                  <c:pt idx="7">
                    <c:v>D.F (dias)</c:v>
                  </c:pt>
                  <c:pt idx="8">
                    <c:v>D.F (dias)</c:v>
                  </c:pt>
                  <c:pt idx="9">
                    <c:v>D.F (dias)</c:v>
                  </c:pt>
                  <c:pt idx="10">
                    <c:v>D.F (dias)</c:v>
                  </c:pt>
                </c:lvl>
                <c:lvl>
                  <c:pt idx="0">
                    <c:v>T 1</c:v>
                  </c:pt>
                  <c:pt idx="1">
                    <c:v>T 2</c:v>
                  </c:pt>
                  <c:pt idx="2">
                    <c:v>T 3</c:v>
                  </c:pt>
                  <c:pt idx="3">
                    <c:v>T 4</c:v>
                  </c:pt>
                  <c:pt idx="4">
                    <c:v>T 5</c:v>
                  </c:pt>
                  <c:pt idx="5">
                    <c:v>T 6</c:v>
                  </c:pt>
                  <c:pt idx="6">
                    <c:v>T 7</c:v>
                  </c:pt>
                  <c:pt idx="7">
                    <c:v>T 8</c:v>
                  </c:pt>
                  <c:pt idx="8">
                    <c:v>T 9</c:v>
                  </c:pt>
                  <c:pt idx="9">
                    <c:v>T 10</c:v>
                  </c:pt>
                  <c:pt idx="10">
                    <c:v>T 11</c:v>
                  </c:pt>
                </c:lvl>
              </c:multiLvlStrCache>
            </c:multiLvlStrRef>
          </c:cat>
          <c:val>
            <c:numRef>
              <c:f>Hoja2!$B$3:$L$3</c:f>
              <c:numCache>
                <c:formatCode>General</c:formatCode>
                <c:ptCount val="11"/>
                <c:pt idx="0">
                  <c:v>4.4000000000000004</c:v>
                </c:pt>
                <c:pt idx="1">
                  <c:v>4.5</c:v>
                </c:pt>
                <c:pt idx="2">
                  <c:v>4.8</c:v>
                </c:pt>
                <c:pt idx="3">
                  <c:v>4.8</c:v>
                </c:pt>
                <c:pt idx="4">
                  <c:v>4.2</c:v>
                </c:pt>
                <c:pt idx="5">
                  <c:v>4.5999999999999996</c:v>
                </c:pt>
                <c:pt idx="6">
                  <c:v>4.5</c:v>
                </c:pt>
                <c:pt idx="7">
                  <c:v>4.8</c:v>
                </c:pt>
                <c:pt idx="8">
                  <c:v>4.2</c:v>
                </c:pt>
                <c:pt idx="9">
                  <c:v>4.05</c:v>
                </c:pt>
                <c:pt idx="10">
                  <c:v>4.05</c:v>
                </c:pt>
              </c:numCache>
            </c:numRef>
          </c:val>
          <c:extLst xmlns:c16r2="http://schemas.microsoft.com/office/drawing/2015/06/chart">
            <c:ext xmlns:c16="http://schemas.microsoft.com/office/drawing/2014/chart" uri="{C3380CC4-5D6E-409C-BE32-E72D297353CC}">
              <c16:uniqueId val="{00000000-04F2-48EF-9C37-D70C550E6272}"/>
            </c:ext>
          </c:extLst>
        </c:ser>
        <c:ser>
          <c:idx val="1"/>
          <c:order val="1"/>
          <c:invertIfNegative val="0"/>
          <c:dLbls>
            <c:dLbl>
              <c:idx val="1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1-04F2-48EF-9C37-D70C550E6272}"/>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Hoja2!$B$1:$L$2</c:f>
              <c:multiLvlStrCache>
                <c:ptCount val="11"/>
                <c:lvl>
                  <c:pt idx="0">
                    <c:v>D.F (dias)</c:v>
                  </c:pt>
                  <c:pt idx="1">
                    <c:v>D.F (dias)</c:v>
                  </c:pt>
                  <c:pt idx="2">
                    <c:v>D.F (dias)</c:v>
                  </c:pt>
                  <c:pt idx="3">
                    <c:v>D.F (dias)</c:v>
                  </c:pt>
                  <c:pt idx="4">
                    <c:v>D.F (dias)</c:v>
                  </c:pt>
                  <c:pt idx="5">
                    <c:v>D.F (dias)</c:v>
                  </c:pt>
                  <c:pt idx="6">
                    <c:v>D.F (dias)</c:v>
                  </c:pt>
                  <c:pt idx="7">
                    <c:v>D.F (dias)</c:v>
                  </c:pt>
                  <c:pt idx="8">
                    <c:v>D.F (dias)</c:v>
                  </c:pt>
                  <c:pt idx="9">
                    <c:v>D.F (dias)</c:v>
                  </c:pt>
                  <c:pt idx="10">
                    <c:v>D.F (dias)</c:v>
                  </c:pt>
                </c:lvl>
                <c:lvl>
                  <c:pt idx="0">
                    <c:v>T 1</c:v>
                  </c:pt>
                  <c:pt idx="1">
                    <c:v>T 2</c:v>
                  </c:pt>
                  <c:pt idx="2">
                    <c:v>T 3</c:v>
                  </c:pt>
                  <c:pt idx="3">
                    <c:v>T 4</c:v>
                  </c:pt>
                  <c:pt idx="4">
                    <c:v>T 5</c:v>
                  </c:pt>
                  <c:pt idx="5">
                    <c:v>T 6</c:v>
                  </c:pt>
                  <c:pt idx="6">
                    <c:v>T 7</c:v>
                  </c:pt>
                  <c:pt idx="7">
                    <c:v>T 8</c:v>
                  </c:pt>
                  <c:pt idx="8">
                    <c:v>T 9</c:v>
                  </c:pt>
                  <c:pt idx="9">
                    <c:v>T 10</c:v>
                  </c:pt>
                  <c:pt idx="10">
                    <c:v>T 11</c:v>
                  </c:pt>
                </c:lvl>
              </c:multiLvlStrCache>
            </c:multiLvlStrRef>
          </c:cat>
          <c:val>
            <c:numRef>
              <c:f>Hoja2!$B$4:$L$4</c:f>
              <c:numCache>
                <c:formatCode>General</c:formatCode>
                <c:ptCount val="11"/>
              </c:numCache>
            </c:numRef>
          </c:val>
          <c:extLst xmlns:c16r2="http://schemas.microsoft.com/office/drawing/2015/06/chart">
            <c:ext xmlns:c16="http://schemas.microsoft.com/office/drawing/2014/chart" uri="{C3380CC4-5D6E-409C-BE32-E72D297353CC}">
              <c16:uniqueId val="{00000002-04F2-48EF-9C37-D70C550E6272}"/>
            </c:ext>
          </c:extLst>
        </c:ser>
        <c:ser>
          <c:idx val="2"/>
          <c:order val="2"/>
          <c:spPr>
            <a:solidFill>
              <a:srgbClr val="00B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Hoja2!$B$1:$L$2</c:f>
              <c:multiLvlStrCache>
                <c:ptCount val="11"/>
                <c:lvl>
                  <c:pt idx="0">
                    <c:v>D.F (dias)</c:v>
                  </c:pt>
                  <c:pt idx="1">
                    <c:v>D.F (dias)</c:v>
                  </c:pt>
                  <c:pt idx="2">
                    <c:v>D.F (dias)</c:v>
                  </c:pt>
                  <c:pt idx="3">
                    <c:v>D.F (dias)</c:v>
                  </c:pt>
                  <c:pt idx="4">
                    <c:v>D.F (dias)</c:v>
                  </c:pt>
                  <c:pt idx="5">
                    <c:v>D.F (dias)</c:v>
                  </c:pt>
                  <c:pt idx="6">
                    <c:v>D.F (dias)</c:v>
                  </c:pt>
                  <c:pt idx="7">
                    <c:v>D.F (dias)</c:v>
                  </c:pt>
                  <c:pt idx="8">
                    <c:v>D.F (dias)</c:v>
                  </c:pt>
                  <c:pt idx="9">
                    <c:v>D.F (dias)</c:v>
                  </c:pt>
                  <c:pt idx="10">
                    <c:v>D.F (dias)</c:v>
                  </c:pt>
                </c:lvl>
                <c:lvl>
                  <c:pt idx="0">
                    <c:v>T 1</c:v>
                  </c:pt>
                  <c:pt idx="1">
                    <c:v>T 2</c:v>
                  </c:pt>
                  <c:pt idx="2">
                    <c:v>T 3</c:v>
                  </c:pt>
                  <c:pt idx="3">
                    <c:v>T 4</c:v>
                  </c:pt>
                  <c:pt idx="4">
                    <c:v>T 5</c:v>
                  </c:pt>
                  <c:pt idx="5">
                    <c:v>T 6</c:v>
                  </c:pt>
                  <c:pt idx="6">
                    <c:v>T 7</c:v>
                  </c:pt>
                  <c:pt idx="7">
                    <c:v>T 8</c:v>
                  </c:pt>
                  <c:pt idx="8">
                    <c:v>T 9</c:v>
                  </c:pt>
                  <c:pt idx="9">
                    <c:v>T 10</c:v>
                  </c:pt>
                  <c:pt idx="10">
                    <c:v>T 11</c:v>
                  </c:pt>
                </c:lvl>
              </c:multiLvlStrCache>
            </c:multiLvlStrRef>
          </c:cat>
          <c:val>
            <c:numRef>
              <c:f>Hoja2!$B$5:$L$5</c:f>
              <c:numCache>
                <c:formatCode>General</c:formatCode>
                <c:ptCount val="11"/>
                <c:pt idx="0">
                  <c:v>4.4000000000000004</c:v>
                </c:pt>
                <c:pt idx="1">
                  <c:v>4.5</c:v>
                </c:pt>
                <c:pt idx="2">
                  <c:v>4.8</c:v>
                </c:pt>
                <c:pt idx="3">
                  <c:v>4.7</c:v>
                </c:pt>
                <c:pt idx="4">
                  <c:v>4.0999999999999996</c:v>
                </c:pt>
                <c:pt idx="5">
                  <c:v>4.5999999999999996</c:v>
                </c:pt>
                <c:pt idx="6">
                  <c:v>4.5999999999999996</c:v>
                </c:pt>
                <c:pt idx="7">
                  <c:v>4.59</c:v>
                </c:pt>
                <c:pt idx="8">
                  <c:v>4.05</c:v>
                </c:pt>
                <c:pt idx="9">
                  <c:v>4</c:v>
                </c:pt>
                <c:pt idx="10">
                  <c:v>4</c:v>
                </c:pt>
              </c:numCache>
            </c:numRef>
          </c:val>
          <c:extLst xmlns:c16r2="http://schemas.microsoft.com/office/drawing/2015/06/chart">
            <c:ext xmlns:c16="http://schemas.microsoft.com/office/drawing/2014/chart" uri="{C3380CC4-5D6E-409C-BE32-E72D297353CC}">
              <c16:uniqueId val="{00000003-04F2-48EF-9C37-D70C550E6272}"/>
            </c:ext>
          </c:extLst>
        </c:ser>
        <c:ser>
          <c:idx val="3"/>
          <c:order val="3"/>
          <c:invertIfNegative val="0"/>
          <c:dLbls>
            <c:dLbl>
              <c:idx val="1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4-04F2-48EF-9C37-D70C550E6272}"/>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Hoja2!$B$1:$L$2</c:f>
              <c:multiLvlStrCache>
                <c:ptCount val="11"/>
                <c:lvl>
                  <c:pt idx="0">
                    <c:v>D.F (dias)</c:v>
                  </c:pt>
                  <c:pt idx="1">
                    <c:v>D.F (dias)</c:v>
                  </c:pt>
                  <c:pt idx="2">
                    <c:v>D.F (dias)</c:v>
                  </c:pt>
                  <c:pt idx="3">
                    <c:v>D.F (dias)</c:v>
                  </c:pt>
                  <c:pt idx="4">
                    <c:v>D.F (dias)</c:v>
                  </c:pt>
                  <c:pt idx="5">
                    <c:v>D.F (dias)</c:v>
                  </c:pt>
                  <c:pt idx="6">
                    <c:v>D.F (dias)</c:v>
                  </c:pt>
                  <c:pt idx="7">
                    <c:v>D.F (dias)</c:v>
                  </c:pt>
                  <c:pt idx="8">
                    <c:v>D.F (dias)</c:v>
                  </c:pt>
                  <c:pt idx="9">
                    <c:v>D.F (dias)</c:v>
                  </c:pt>
                  <c:pt idx="10">
                    <c:v>D.F (dias)</c:v>
                  </c:pt>
                </c:lvl>
                <c:lvl>
                  <c:pt idx="0">
                    <c:v>T 1</c:v>
                  </c:pt>
                  <c:pt idx="1">
                    <c:v>T 2</c:v>
                  </c:pt>
                  <c:pt idx="2">
                    <c:v>T 3</c:v>
                  </c:pt>
                  <c:pt idx="3">
                    <c:v>T 4</c:v>
                  </c:pt>
                  <c:pt idx="4">
                    <c:v>T 5</c:v>
                  </c:pt>
                  <c:pt idx="5">
                    <c:v>T 6</c:v>
                  </c:pt>
                  <c:pt idx="6">
                    <c:v>T 7</c:v>
                  </c:pt>
                  <c:pt idx="7">
                    <c:v>T 8</c:v>
                  </c:pt>
                  <c:pt idx="8">
                    <c:v>T 9</c:v>
                  </c:pt>
                  <c:pt idx="9">
                    <c:v>T 10</c:v>
                  </c:pt>
                  <c:pt idx="10">
                    <c:v>T 11</c:v>
                  </c:pt>
                </c:lvl>
              </c:multiLvlStrCache>
            </c:multiLvlStrRef>
          </c:cat>
          <c:val>
            <c:numRef>
              <c:f>Hoja2!$B$6:$L$6</c:f>
              <c:numCache>
                <c:formatCode>General</c:formatCode>
                <c:ptCount val="11"/>
              </c:numCache>
            </c:numRef>
          </c:val>
          <c:extLst xmlns:c16r2="http://schemas.microsoft.com/office/drawing/2015/06/chart">
            <c:ext xmlns:c16="http://schemas.microsoft.com/office/drawing/2014/chart" uri="{C3380CC4-5D6E-409C-BE32-E72D297353CC}">
              <c16:uniqueId val="{00000005-04F2-48EF-9C37-D70C550E6272}"/>
            </c:ext>
          </c:extLst>
        </c:ser>
        <c:ser>
          <c:idx val="4"/>
          <c:order val="4"/>
          <c:spPr>
            <a:solidFill>
              <a:srgbClr val="6600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Hoja2!$B$1:$L$2</c:f>
              <c:multiLvlStrCache>
                <c:ptCount val="11"/>
                <c:lvl>
                  <c:pt idx="0">
                    <c:v>D.F (dias)</c:v>
                  </c:pt>
                  <c:pt idx="1">
                    <c:v>D.F (dias)</c:v>
                  </c:pt>
                  <c:pt idx="2">
                    <c:v>D.F (dias)</c:v>
                  </c:pt>
                  <c:pt idx="3">
                    <c:v>D.F (dias)</c:v>
                  </c:pt>
                  <c:pt idx="4">
                    <c:v>D.F (dias)</c:v>
                  </c:pt>
                  <c:pt idx="5">
                    <c:v>D.F (dias)</c:v>
                  </c:pt>
                  <c:pt idx="6">
                    <c:v>D.F (dias)</c:v>
                  </c:pt>
                  <c:pt idx="7">
                    <c:v>D.F (dias)</c:v>
                  </c:pt>
                  <c:pt idx="8">
                    <c:v>D.F (dias)</c:v>
                  </c:pt>
                  <c:pt idx="9">
                    <c:v>D.F (dias)</c:v>
                  </c:pt>
                  <c:pt idx="10">
                    <c:v>D.F (dias)</c:v>
                  </c:pt>
                </c:lvl>
                <c:lvl>
                  <c:pt idx="0">
                    <c:v>T 1</c:v>
                  </c:pt>
                  <c:pt idx="1">
                    <c:v>T 2</c:v>
                  </c:pt>
                  <c:pt idx="2">
                    <c:v>T 3</c:v>
                  </c:pt>
                  <c:pt idx="3">
                    <c:v>T 4</c:v>
                  </c:pt>
                  <c:pt idx="4">
                    <c:v>T 5</c:v>
                  </c:pt>
                  <c:pt idx="5">
                    <c:v>T 6</c:v>
                  </c:pt>
                  <c:pt idx="6">
                    <c:v>T 7</c:v>
                  </c:pt>
                  <c:pt idx="7">
                    <c:v>T 8</c:v>
                  </c:pt>
                  <c:pt idx="8">
                    <c:v>T 9</c:v>
                  </c:pt>
                  <c:pt idx="9">
                    <c:v>T 10</c:v>
                  </c:pt>
                  <c:pt idx="10">
                    <c:v>T 11</c:v>
                  </c:pt>
                </c:lvl>
              </c:multiLvlStrCache>
            </c:multiLvlStrRef>
          </c:cat>
          <c:val>
            <c:numRef>
              <c:f>Hoja2!$B$7:$L$7</c:f>
              <c:numCache>
                <c:formatCode>General</c:formatCode>
                <c:ptCount val="11"/>
                <c:pt idx="0">
                  <c:v>4</c:v>
                </c:pt>
                <c:pt idx="1">
                  <c:v>4.0999999999999996</c:v>
                </c:pt>
                <c:pt idx="2">
                  <c:v>4.5</c:v>
                </c:pt>
                <c:pt idx="3">
                  <c:v>4.3</c:v>
                </c:pt>
                <c:pt idx="4">
                  <c:v>4.0999999999999996</c:v>
                </c:pt>
                <c:pt idx="5">
                  <c:v>4</c:v>
                </c:pt>
                <c:pt idx="6">
                  <c:v>4</c:v>
                </c:pt>
                <c:pt idx="7">
                  <c:v>4.0999999999999996</c:v>
                </c:pt>
                <c:pt idx="8">
                  <c:v>3.9</c:v>
                </c:pt>
                <c:pt idx="9">
                  <c:v>3.9</c:v>
                </c:pt>
                <c:pt idx="10">
                  <c:v>3.8</c:v>
                </c:pt>
              </c:numCache>
            </c:numRef>
          </c:val>
          <c:extLst xmlns:c16r2="http://schemas.microsoft.com/office/drawing/2015/06/chart">
            <c:ext xmlns:c16="http://schemas.microsoft.com/office/drawing/2014/chart" uri="{C3380CC4-5D6E-409C-BE32-E72D297353CC}">
              <c16:uniqueId val="{00000006-04F2-48EF-9C37-D70C550E6272}"/>
            </c:ext>
          </c:extLst>
        </c:ser>
        <c:ser>
          <c:idx val="5"/>
          <c:order val="5"/>
          <c:invertIfNegative val="0"/>
          <c:dLbls>
            <c:delete val="1"/>
          </c:dLbls>
          <c:cat>
            <c:multiLvlStrRef>
              <c:f>Hoja2!$B$1:$L$2</c:f>
              <c:multiLvlStrCache>
                <c:ptCount val="11"/>
                <c:lvl>
                  <c:pt idx="0">
                    <c:v>D.F (dias)</c:v>
                  </c:pt>
                  <c:pt idx="1">
                    <c:v>D.F (dias)</c:v>
                  </c:pt>
                  <c:pt idx="2">
                    <c:v>D.F (dias)</c:v>
                  </c:pt>
                  <c:pt idx="3">
                    <c:v>D.F (dias)</c:v>
                  </c:pt>
                  <c:pt idx="4">
                    <c:v>D.F (dias)</c:v>
                  </c:pt>
                  <c:pt idx="5">
                    <c:v>D.F (dias)</c:v>
                  </c:pt>
                  <c:pt idx="6">
                    <c:v>D.F (dias)</c:v>
                  </c:pt>
                  <c:pt idx="7">
                    <c:v>D.F (dias)</c:v>
                  </c:pt>
                  <c:pt idx="8">
                    <c:v>D.F (dias)</c:v>
                  </c:pt>
                  <c:pt idx="9">
                    <c:v>D.F (dias)</c:v>
                  </c:pt>
                  <c:pt idx="10">
                    <c:v>D.F (dias)</c:v>
                  </c:pt>
                </c:lvl>
                <c:lvl>
                  <c:pt idx="0">
                    <c:v>T 1</c:v>
                  </c:pt>
                  <c:pt idx="1">
                    <c:v>T 2</c:v>
                  </c:pt>
                  <c:pt idx="2">
                    <c:v>T 3</c:v>
                  </c:pt>
                  <c:pt idx="3">
                    <c:v>T 4</c:v>
                  </c:pt>
                  <c:pt idx="4">
                    <c:v>T 5</c:v>
                  </c:pt>
                  <c:pt idx="5">
                    <c:v>T 6</c:v>
                  </c:pt>
                  <c:pt idx="6">
                    <c:v>T 7</c:v>
                  </c:pt>
                  <c:pt idx="7">
                    <c:v>T 8</c:v>
                  </c:pt>
                  <c:pt idx="8">
                    <c:v>T 9</c:v>
                  </c:pt>
                  <c:pt idx="9">
                    <c:v>T 10</c:v>
                  </c:pt>
                  <c:pt idx="10">
                    <c:v>T 11</c:v>
                  </c:pt>
                </c:lvl>
              </c:multiLvlStrCache>
            </c:multiLvlStrRef>
          </c:cat>
          <c:val>
            <c:numRef>
              <c:f>Hoja2!$B$8:$L$8</c:f>
              <c:numCache>
                <c:formatCode>General</c:formatCode>
                <c:ptCount val="11"/>
                <c:pt idx="9">
                  <c:v>3.73</c:v>
                </c:pt>
                <c:pt idx="10">
                  <c:v>3.73</c:v>
                </c:pt>
              </c:numCache>
            </c:numRef>
          </c:val>
          <c:extLst xmlns:c16r2="http://schemas.microsoft.com/office/drawing/2015/06/chart">
            <c:ext xmlns:c16="http://schemas.microsoft.com/office/drawing/2014/chart" uri="{C3380CC4-5D6E-409C-BE32-E72D297353CC}">
              <c16:uniqueId val="{00000007-04F2-48EF-9C37-D70C550E6272}"/>
            </c:ext>
          </c:extLst>
        </c:ser>
        <c:ser>
          <c:idx val="6"/>
          <c:order val="6"/>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Hoja2!$B$1:$L$2</c:f>
              <c:multiLvlStrCache>
                <c:ptCount val="11"/>
                <c:lvl>
                  <c:pt idx="0">
                    <c:v>D.F (dias)</c:v>
                  </c:pt>
                  <c:pt idx="1">
                    <c:v>D.F (dias)</c:v>
                  </c:pt>
                  <c:pt idx="2">
                    <c:v>D.F (dias)</c:v>
                  </c:pt>
                  <c:pt idx="3">
                    <c:v>D.F (dias)</c:v>
                  </c:pt>
                  <c:pt idx="4">
                    <c:v>D.F (dias)</c:v>
                  </c:pt>
                  <c:pt idx="5">
                    <c:v>D.F (dias)</c:v>
                  </c:pt>
                  <c:pt idx="6">
                    <c:v>D.F (dias)</c:v>
                  </c:pt>
                  <c:pt idx="7">
                    <c:v>D.F (dias)</c:v>
                  </c:pt>
                  <c:pt idx="8">
                    <c:v>D.F (dias)</c:v>
                  </c:pt>
                  <c:pt idx="9">
                    <c:v>D.F (dias)</c:v>
                  </c:pt>
                  <c:pt idx="10">
                    <c:v>D.F (dias)</c:v>
                  </c:pt>
                </c:lvl>
                <c:lvl>
                  <c:pt idx="0">
                    <c:v>T 1</c:v>
                  </c:pt>
                  <c:pt idx="1">
                    <c:v>T 2</c:v>
                  </c:pt>
                  <c:pt idx="2">
                    <c:v>T 3</c:v>
                  </c:pt>
                  <c:pt idx="3">
                    <c:v>T 4</c:v>
                  </c:pt>
                  <c:pt idx="4">
                    <c:v>T 5</c:v>
                  </c:pt>
                  <c:pt idx="5">
                    <c:v>T 6</c:v>
                  </c:pt>
                  <c:pt idx="6">
                    <c:v>T 7</c:v>
                  </c:pt>
                  <c:pt idx="7">
                    <c:v>T 8</c:v>
                  </c:pt>
                  <c:pt idx="8">
                    <c:v>T 9</c:v>
                  </c:pt>
                  <c:pt idx="9">
                    <c:v>T 10</c:v>
                  </c:pt>
                  <c:pt idx="10">
                    <c:v>T 11</c:v>
                  </c:pt>
                </c:lvl>
              </c:multiLvlStrCache>
            </c:multiLvlStrRef>
          </c:cat>
          <c:val>
            <c:numRef>
              <c:f>Hoja2!$B$9:$L$9</c:f>
              <c:numCache>
                <c:formatCode>General</c:formatCode>
                <c:ptCount val="11"/>
                <c:pt idx="0">
                  <c:v>3.68</c:v>
                </c:pt>
                <c:pt idx="1">
                  <c:v>3.7</c:v>
                </c:pt>
                <c:pt idx="2">
                  <c:v>3.66</c:v>
                </c:pt>
                <c:pt idx="3">
                  <c:v>3.64</c:v>
                </c:pt>
                <c:pt idx="4">
                  <c:v>3.67</c:v>
                </c:pt>
                <c:pt idx="5">
                  <c:v>3.71</c:v>
                </c:pt>
                <c:pt idx="6">
                  <c:v>3.68</c:v>
                </c:pt>
                <c:pt idx="7">
                  <c:v>3.66</c:v>
                </c:pt>
                <c:pt idx="8">
                  <c:v>3.7</c:v>
                </c:pt>
                <c:pt idx="9">
                  <c:v>3.71</c:v>
                </c:pt>
                <c:pt idx="10">
                  <c:v>3.63</c:v>
                </c:pt>
              </c:numCache>
            </c:numRef>
          </c:val>
          <c:extLst xmlns:c16r2="http://schemas.microsoft.com/office/drawing/2015/06/chart">
            <c:ext xmlns:c16="http://schemas.microsoft.com/office/drawing/2014/chart" uri="{C3380CC4-5D6E-409C-BE32-E72D297353CC}">
              <c16:uniqueId val="{00000008-04F2-48EF-9C37-D70C550E6272}"/>
            </c:ext>
          </c:extLst>
        </c:ser>
        <c:ser>
          <c:idx val="7"/>
          <c:order val="7"/>
          <c:invertIfNegative val="0"/>
          <c:dLbls>
            <c:delete val="1"/>
          </c:dLbls>
          <c:cat>
            <c:multiLvlStrRef>
              <c:f>Hoja2!$B$1:$L$2</c:f>
              <c:multiLvlStrCache>
                <c:ptCount val="11"/>
                <c:lvl>
                  <c:pt idx="0">
                    <c:v>D.F (dias)</c:v>
                  </c:pt>
                  <c:pt idx="1">
                    <c:v>D.F (dias)</c:v>
                  </c:pt>
                  <c:pt idx="2">
                    <c:v>D.F (dias)</c:v>
                  </c:pt>
                  <c:pt idx="3">
                    <c:v>D.F (dias)</c:v>
                  </c:pt>
                  <c:pt idx="4">
                    <c:v>D.F (dias)</c:v>
                  </c:pt>
                  <c:pt idx="5">
                    <c:v>D.F (dias)</c:v>
                  </c:pt>
                  <c:pt idx="6">
                    <c:v>D.F (dias)</c:v>
                  </c:pt>
                  <c:pt idx="7">
                    <c:v>D.F (dias)</c:v>
                  </c:pt>
                  <c:pt idx="8">
                    <c:v>D.F (dias)</c:v>
                  </c:pt>
                  <c:pt idx="9">
                    <c:v>D.F (dias)</c:v>
                  </c:pt>
                  <c:pt idx="10">
                    <c:v>D.F (dias)</c:v>
                  </c:pt>
                </c:lvl>
                <c:lvl>
                  <c:pt idx="0">
                    <c:v>T 1</c:v>
                  </c:pt>
                  <c:pt idx="1">
                    <c:v>T 2</c:v>
                  </c:pt>
                  <c:pt idx="2">
                    <c:v>T 3</c:v>
                  </c:pt>
                  <c:pt idx="3">
                    <c:v>T 4</c:v>
                  </c:pt>
                  <c:pt idx="4">
                    <c:v>T 5</c:v>
                  </c:pt>
                  <c:pt idx="5">
                    <c:v>T 6</c:v>
                  </c:pt>
                  <c:pt idx="6">
                    <c:v>T 7</c:v>
                  </c:pt>
                  <c:pt idx="7">
                    <c:v>T 8</c:v>
                  </c:pt>
                  <c:pt idx="8">
                    <c:v>T 9</c:v>
                  </c:pt>
                  <c:pt idx="9">
                    <c:v>T 10</c:v>
                  </c:pt>
                  <c:pt idx="10">
                    <c:v>T 11</c:v>
                  </c:pt>
                </c:lvl>
              </c:multiLvlStrCache>
            </c:multiLvlStrRef>
          </c:cat>
          <c:val>
            <c:numRef>
              <c:f>Hoja2!$B$10:$L$10</c:f>
              <c:numCache>
                <c:formatCode>General</c:formatCode>
                <c:ptCount val="11"/>
                <c:pt idx="0">
                  <c:v>0</c:v>
                </c:pt>
                <c:pt idx="1">
                  <c:v>0</c:v>
                </c:pt>
                <c:pt idx="2">
                  <c:v>0</c:v>
                </c:pt>
                <c:pt idx="3">
                  <c:v>0</c:v>
                </c:pt>
                <c:pt idx="4">
                  <c:v>0</c:v>
                </c:pt>
                <c:pt idx="5">
                  <c:v>0</c:v>
                </c:pt>
                <c:pt idx="6">
                  <c:v>3.68</c:v>
                </c:pt>
                <c:pt idx="7">
                  <c:v>3.62</c:v>
                </c:pt>
                <c:pt idx="8">
                  <c:v>3.65</c:v>
                </c:pt>
                <c:pt idx="9">
                  <c:v>0</c:v>
                </c:pt>
                <c:pt idx="10">
                  <c:v>0</c:v>
                </c:pt>
              </c:numCache>
            </c:numRef>
          </c:val>
          <c:extLst xmlns:c16r2="http://schemas.microsoft.com/office/drawing/2015/06/chart">
            <c:ext xmlns:c16="http://schemas.microsoft.com/office/drawing/2014/chart" uri="{C3380CC4-5D6E-409C-BE32-E72D297353CC}">
              <c16:uniqueId val="{00000009-04F2-48EF-9C37-D70C550E6272}"/>
            </c:ext>
          </c:extLst>
        </c:ser>
        <c:ser>
          <c:idx val="8"/>
          <c:order val="8"/>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Hoja2!$B$1:$L$2</c:f>
              <c:multiLvlStrCache>
                <c:ptCount val="11"/>
                <c:lvl>
                  <c:pt idx="0">
                    <c:v>D.F (dias)</c:v>
                  </c:pt>
                  <c:pt idx="1">
                    <c:v>D.F (dias)</c:v>
                  </c:pt>
                  <c:pt idx="2">
                    <c:v>D.F (dias)</c:v>
                  </c:pt>
                  <c:pt idx="3">
                    <c:v>D.F (dias)</c:v>
                  </c:pt>
                  <c:pt idx="4">
                    <c:v>D.F (dias)</c:v>
                  </c:pt>
                  <c:pt idx="5">
                    <c:v>D.F (dias)</c:v>
                  </c:pt>
                  <c:pt idx="6">
                    <c:v>D.F (dias)</c:v>
                  </c:pt>
                  <c:pt idx="7">
                    <c:v>D.F (dias)</c:v>
                  </c:pt>
                  <c:pt idx="8">
                    <c:v>D.F (dias)</c:v>
                  </c:pt>
                  <c:pt idx="9">
                    <c:v>D.F (dias)</c:v>
                  </c:pt>
                  <c:pt idx="10">
                    <c:v>D.F (dias)</c:v>
                  </c:pt>
                </c:lvl>
                <c:lvl>
                  <c:pt idx="0">
                    <c:v>T 1</c:v>
                  </c:pt>
                  <c:pt idx="1">
                    <c:v>T 2</c:v>
                  </c:pt>
                  <c:pt idx="2">
                    <c:v>T 3</c:v>
                  </c:pt>
                  <c:pt idx="3">
                    <c:v>T 4</c:v>
                  </c:pt>
                  <c:pt idx="4">
                    <c:v>T 5</c:v>
                  </c:pt>
                  <c:pt idx="5">
                    <c:v>T 6</c:v>
                  </c:pt>
                  <c:pt idx="6">
                    <c:v>T 7</c:v>
                  </c:pt>
                  <c:pt idx="7">
                    <c:v>T 8</c:v>
                  </c:pt>
                  <c:pt idx="8">
                    <c:v>T 9</c:v>
                  </c:pt>
                  <c:pt idx="9">
                    <c:v>T 10</c:v>
                  </c:pt>
                  <c:pt idx="10">
                    <c:v>T 11</c:v>
                  </c:pt>
                </c:lvl>
              </c:multiLvlStrCache>
            </c:multiLvlStrRef>
          </c:cat>
          <c:val>
            <c:numRef>
              <c:f>Hoja2!$B$11:$L$11</c:f>
              <c:numCache>
                <c:formatCode>General</c:formatCode>
                <c:ptCount val="11"/>
                <c:pt idx="0">
                  <c:v>0</c:v>
                </c:pt>
                <c:pt idx="1">
                  <c:v>3.65</c:v>
                </c:pt>
                <c:pt idx="2">
                  <c:v>0</c:v>
                </c:pt>
                <c:pt idx="3">
                  <c:v>0</c:v>
                </c:pt>
                <c:pt idx="4">
                  <c:v>0</c:v>
                </c:pt>
                <c:pt idx="5">
                  <c:v>3.63</c:v>
                </c:pt>
                <c:pt idx="6">
                  <c:v>3.68</c:v>
                </c:pt>
                <c:pt idx="7">
                  <c:v>3.62</c:v>
                </c:pt>
                <c:pt idx="8">
                  <c:v>0</c:v>
                </c:pt>
                <c:pt idx="9">
                  <c:v>0</c:v>
                </c:pt>
                <c:pt idx="10">
                  <c:v>0</c:v>
                </c:pt>
              </c:numCache>
            </c:numRef>
          </c:val>
          <c:extLst xmlns:c16r2="http://schemas.microsoft.com/office/drawing/2015/06/chart">
            <c:ext xmlns:c16="http://schemas.microsoft.com/office/drawing/2014/chart" uri="{C3380CC4-5D6E-409C-BE32-E72D297353CC}">
              <c16:uniqueId val="{0000000A-04F2-48EF-9C37-D70C550E6272}"/>
            </c:ext>
          </c:extLst>
        </c:ser>
        <c:ser>
          <c:idx val="9"/>
          <c:order val="9"/>
          <c:invertIfNegative val="0"/>
          <c:dLbls>
            <c:delete val="1"/>
          </c:dLbls>
          <c:cat>
            <c:multiLvlStrRef>
              <c:f>Hoja2!$B$1:$L$2</c:f>
              <c:multiLvlStrCache>
                <c:ptCount val="11"/>
                <c:lvl>
                  <c:pt idx="0">
                    <c:v>D.F (dias)</c:v>
                  </c:pt>
                  <c:pt idx="1">
                    <c:v>D.F (dias)</c:v>
                  </c:pt>
                  <c:pt idx="2">
                    <c:v>D.F (dias)</c:v>
                  </c:pt>
                  <c:pt idx="3">
                    <c:v>D.F (dias)</c:v>
                  </c:pt>
                  <c:pt idx="4">
                    <c:v>D.F (dias)</c:v>
                  </c:pt>
                  <c:pt idx="5">
                    <c:v>D.F (dias)</c:v>
                  </c:pt>
                  <c:pt idx="6">
                    <c:v>D.F (dias)</c:v>
                  </c:pt>
                  <c:pt idx="7">
                    <c:v>D.F (dias)</c:v>
                  </c:pt>
                  <c:pt idx="8">
                    <c:v>D.F (dias)</c:v>
                  </c:pt>
                  <c:pt idx="9">
                    <c:v>D.F (dias)</c:v>
                  </c:pt>
                  <c:pt idx="10">
                    <c:v>D.F (dias)</c:v>
                  </c:pt>
                </c:lvl>
                <c:lvl>
                  <c:pt idx="0">
                    <c:v>T 1</c:v>
                  </c:pt>
                  <c:pt idx="1">
                    <c:v>T 2</c:v>
                  </c:pt>
                  <c:pt idx="2">
                    <c:v>T 3</c:v>
                  </c:pt>
                  <c:pt idx="3">
                    <c:v>T 4</c:v>
                  </c:pt>
                  <c:pt idx="4">
                    <c:v>T 5</c:v>
                  </c:pt>
                  <c:pt idx="5">
                    <c:v>T 6</c:v>
                  </c:pt>
                  <c:pt idx="6">
                    <c:v>T 7</c:v>
                  </c:pt>
                  <c:pt idx="7">
                    <c:v>T 8</c:v>
                  </c:pt>
                  <c:pt idx="8">
                    <c:v>T 9</c:v>
                  </c:pt>
                  <c:pt idx="9">
                    <c:v>T 10</c:v>
                  </c:pt>
                  <c:pt idx="10">
                    <c:v>T 11</c:v>
                  </c:pt>
                </c:lvl>
              </c:multiLvlStrCache>
            </c:multiLvlStrRef>
          </c:cat>
          <c:val>
            <c:numRef>
              <c:f>Hoja2!$B$12:$L$12</c:f>
              <c:numCache>
                <c:formatCode>General</c:formatCode>
                <c:ptCount val="11"/>
                <c:pt idx="0">
                  <c:v>0</c:v>
                </c:pt>
                <c:pt idx="1">
                  <c:v>0</c:v>
                </c:pt>
                <c:pt idx="2">
                  <c:v>0</c:v>
                </c:pt>
                <c:pt idx="3">
                  <c:v>3.5</c:v>
                </c:pt>
                <c:pt idx="4">
                  <c:v>0</c:v>
                </c:pt>
                <c:pt idx="5">
                  <c:v>3.6</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B-04F2-48EF-9C37-D70C550E6272}"/>
            </c:ext>
          </c:extLst>
        </c:ser>
        <c:ser>
          <c:idx val="10"/>
          <c:order val="10"/>
          <c:invertIfNegative val="0"/>
          <c:dLbls>
            <c:dLbl>
              <c:idx val="5"/>
              <c:layout>
                <c:manualLayout>
                  <c:x val="6.7339289430849546E-17"/>
                  <c:y val="-4.05405405405405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Hoja2!$B$1:$L$2</c:f>
              <c:multiLvlStrCache>
                <c:ptCount val="11"/>
                <c:lvl>
                  <c:pt idx="0">
                    <c:v>D.F (dias)</c:v>
                  </c:pt>
                  <c:pt idx="1">
                    <c:v>D.F (dias)</c:v>
                  </c:pt>
                  <c:pt idx="2">
                    <c:v>D.F (dias)</c:v>
                  </c:pt>
                  <c:pt idx="3">
                    <c:v>D.F (dias)</c:v>
                  </c:pt>
                  <c:pt idx="4">
                    <c:v>D.F (dias)</c:v>
                  </c:pt>
                  <c:pt idx="5">
                    <c:v>D.F (dias)</c:v>
                  </c:pt>
                  <c:pt idx="6">
                    <c:v>D.F (dias)</c:v>
                  </c:pt>
                  <c:pt idx="7">
                    <c:v>D.F (dias)</c:v>
                  </c:pt>
                  <c:pt idx="8">
                    <c:v>D.F (dias)</c:v>
                  </c:pt>
                  <c:pt idx="9">
                    <c:v>D.F (dias)</c:v>
                  </c:pt>
                  <c:pt idx="10">
                    <c:v>D.F (dias)</c:v>
                  </c:pt>
                </c:lvl>
                <c:lvl>
                  <c:pt idx="0">
                    <c:v>T 1</c:v>
                  </c:pt>
                  <c:pt idx="1">
                    <c:v>T 2</c:v>
                  </c:pt>
                  <c:pt idx="2">
                    <c:v>T 3</c:v>
                  </c:pt>
                  <c:pt idx="3">
                    <c:v>T 4</c:v>
                  </c:pt>
                  <c:pt idx="4">
                    <c:v>T 5</c:v>
                  </c:pt>
                  <c:pt idx="5">
                    <c:v>T 6</c:v>
                  </c:pt>
                  <c:pt idx="6">
                    <c:v>T 7</c:v>
                  </c:pt>
                  <c:pt idx="7">
                    <c:v>T 8</c:v>
                  </c:pt>
                  <c:pt idx="8">
                    <c:v>T 9</c:v>
                  </c:pt>
                  <c:pt idx="9">
                    <c:v>T 10</c:v>
                  </c:pt>
                  <c:pt idx="10">
                    <c:v>T 11</c:v>
                  </c:pt>
                </c:lvl>
              </c:multiLvlStrCache>
            </c:multiLvlStrRef>
          </c:cat>
          <c:val>
            <c:numRef>
              <c:f>Hoja2!$B$13:$L$13</c:f>
              <c:numCache>
                <c:formatCode>General</c:formatCode>
                <c:ptCount val="11"/>
                <c:pt idx="0">
                  <c:v>0</c:v>
                </c:pt>
                <c:pt idx="1">
                  <c:v>0</c:v>
                </c:pt>
                <c:pt idx="2">
                  <c:v>0</c:v>
                </c:pt>
                <c:pt idx="3">
                  <c:v>0</c:v>
                </c:pt>
                <c:pt idx="4">
                  <c:v>0</c:v>
                </c:pt>
                <c:pt idx="5">
                  <c:v>3.59</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C-04F2-48EF-9C37-D70C550E6272}"/>
            </c:ext>
          </c:extLst>
        </c:ser>
        <c:dLbls>
          <c:showLegendKey val="0"/>
          <c:showVal val="1"/>
          <c:showCatName val="0"/>
          <c:showSerName val="0"/>
          <c:showPercent val="0"/>
          <c:showBubbleSize val="0"/>
        </c:dLbls>
        <c:gapWidth val="150"/>
        <c:axId val="364053120"/>
        <c:axId val="364054688"/>
      </c:barChart>
      <c:catAx>
        <c:axId val="364053120"/>
        <c:scaling>
          <c:orientation val="minMax"/>
        </c:scaling>
        <c:delete val="0"/>
        <c:axPos val="b"/>
        <c:numFmt formatCode="General" sourceLinked="0"/>
        <c:majorTickMark val="none"/>
        <c:minorTickMark val="none"/>
        <c:tickLblPos val="nextTo"/>
        <c:crossAx val="364054688"/>
        <c:crosses val="autoZero"/>
        <c:auto val="1"/>
        <c:lblAlgn val="ctr"/>
        <c:lblOffset val="100"/>
        <c:noMultiLvlLbl val="0"/>
      </c:catAx>
      <c:valAx>
        <c:axId val="364054688"/>
        <c:scaling>
          <c:orientation val="minMax"/>
        </c:scaling>
        <c:delete val="0"/>
        <c:axPos val="l"/>
        <c:majorGridlines/>
        <c:title>
          <c:tx>
            <c:rich>
              <a:bodyPr/>
              <a:lstStyle/>
              <a:p>
                <a:pPr>
                  <a:defRPr/>
                </a:pPr>
                <a:r>
                  <a:rPr lang="es-PE"/>
                  <a:t>pH</a:t>
                </a:r>
              </a:p>
            </c:rich>
          </c:tx>
          <c:overlay val="0"/>
        </c:title>
        <c:numFmt formatCode="General" sourceLinked="1"/>
        <c:majorTickMark val="none"/>
        <c:minorTickMark val="none"/>
        <c:tickLblPos val="nextTo"/>
        <c:crossAx val="364053120"/>
        <c:crosses val="autoZero"/>
        <c:crossBetween val="between"/>
      </c:valAx>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s-EC"/>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FF006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Hoja3!$F$3:$F$13</c:f>
              <c:numCache>
                <c:formatCode>General</c:formatCode>
                <c:ptCount val="11"/>
                <c:pt idx="0">
                  <c:v>9.8000000000000007</c:v>
                </c:pt>
                <c:pt idx="1">
                  <c:v>11</c:v>
                </c:pt>
                <c:pt idx="2">
                  <c:v>10</c:v>
                </c:pt>
                <c:pt idx="3">
                  <c:v>11</c:v>
                </c:pt>
                <c:pt idx="4">
                  <c:v>9</c:v>
                </c:pt>
                <c:pt idx="5">
                  <c:v>12.6</c:v>
                </c:pt>
                <c:pt idx="6">
                  <c:v>9</c:v>
                </c:pt>
                <c:pt idx="7">
                  <c:v>10</c:v>
                </c:pt>
                <c:pt idx="8">
                  <c:v>9</c:v>
                </c:pt>
                <c:pt idx="9">
                  <c:v>9</c:v>
                </c:pt>
                <c:pt idx="10">
                  <c:v>9</c:v>
                </c:pt>
              </c:numCache>
            </c:numRef>
          </c:val>
          <c:extLst xmlns:c16r2="http://schemas.microsoft.com/office/drawing/2015/06/chart">
            <c:ext xmlns:c16="http://schemas.microsoft.com/office/drawing/2014/chart" uri="{C3380CC4-5D6E-409C-BE32-E72D297353CC}">
              <c16:uniqueId val="{00000000-7D77-4798-8E17-65B50541A2FF}"/>
            </c:ext>
          </c:extLst>
        </c:ser>
        <c:dLbls>
          <c:showLegendKey val="0"/>
          <c:showVal val="0"/>
          <c:showCatName val="0"/>
          <c:showSerName val="0"/>
          <c:showPercent val="0"/>
          <c:showBubbleSize val="0"/>
        </c:dLbls>
        <c:gapWidth val="150"/>
        <c:axId val="364048416"/>
        <c:axId val="364047240"/>
      </c:barChart>
      <c:catAx>
        <c:axId val="364048416"/>
        <c:scaling>
          <c:orientation val="minMax"/>
        </c:scaling>
        <c:delete val="0"/>
        <c:axPos val="b"/>
        <c:title>
          <c:tx>
            <c:rich>
              <a:bodyPr/>
              <a:lstStyle/>
              <a:p>
                <a:pPr>
                  <a:defRPr/>
                </a:pPr>
                <a:r>
                  <a:rPr lang="es-PE"/>
                  <a:t>Tratamientos del DCCR</a:t>
                </a:r>
              </a:p>
            </c:rich>
          </c:tx>
          <c:overlay val="0"/>
        </c:title>
        <c:majorTickMark val="none"/>
        <c:minorTickMark val="none"/>
        <c:tickLblPos val="nextTo"/>
        <c:crossAx val="364047240"/>
        <c:crosses val="autoZero"/>
        <c:auto val="1"/>
        <c:lblAlgn val="ctr"/>
        <c:lblOffset val="100"/>
        <c:noMultiLvlLbl val="0"/>
      </c:catAx>
      <c:valAx>
        <c:axId val="364047240"/>
        <c:scaling>
          <c:orientation val="minMax"/>
        </c:scaling>
        <c:delete val="0"/>
        <c:axPos val="l"/>
        <c:majorGridlines/>
        <c:title>
          <c:tx>
            <c:rich>
              <a:bodyPr/>
              <a:lstStyle/>
              <a:p>
                <a:pPr>
                  <a:defRPr/>
                </a:pPr>
                <a:r>
                  <a:rPr lang="es-PE"/>
                  <a:t>Grados Alcoholicos </a:t>
                </a:r>
              </a:p>
            </c:rich>
          </c:tx>
          <c:overlay val="0"/>
        </c:title>
        <c:numFmt formatCode="General" sourceLinked="1"/>
        <c:majorTickMark val="out"/>
        <c:minorTickMark val="none"/>
        <c:tickLblPos val="nextTo"/>
        <c:crossAx val="364048416"/>
        <c:crosses val="autoZero"/>
        <c:crossBetween val="between"/>
      </c:valAx>
    </c:plotArea>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s-EC"/>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23656779083519"/>
          <c:y val="5.5660962978487057E-2"/>
          <c:w val="0.8721961513604769"/>
          <c:h val="0.77200042393174384"/>
        </c:manualLayout>
      </c:layout>
      <c:barChart>
        <c:barDir val="col"/>
        <c:grouping val="clustered"/>
        <c:varyColors val="0"/>
        <c:ser>
          <c:idx val="0"/>
          <c:order val="0"/>
          <c:tx>
            <c:strRef>
              <c:f>Hoja1!$C$3</c:f>
              <c:strCache>
                <c:ptCount val="1"/>
                <c:pt idx="0">
                  <c:v>pH</c:v>
                </c:pt>
              </c:strCache>
            </c:strRef>
          </c:tx>
          <c:spPr>
            <a:solidFill>
              <a:schemeClr val="accent1"/>
            </a:solidFill>
            <a:ln>
              <a:noFill/>
            </a:ln>
            <a:effectLst/>
          </c:spPr>
          <c:invertIfNegative val="0"/>
          <c:cat>
            <c:numRef>
              <c:f>Hoja1!$B$4:$B$14</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Hoja1!$C$4:$C$14</c:f>
              <c:numCache>
                <c:formatCode>General</c:formatCode>
                <c:ptCount val="11"/>
                <c:pt idx="0">
                  <c:v>3.68</c:v>
                </c:pt>
                <c:pt idx="1">
                  <c:v>3.65</c:v>
                </c:pt>
                <c:pt idx="2">
                  <c:v>3.66</c:v>
                </c:pt>
                <c:pt idx="3">
                  <c:v>3.55</c:v>
                </c:pt>
                <c:pt idx="4">
                  <c:v>3.67</c:v>
                </c:pt>
                <c:pt idx="5">
                  <c:v>3.49</c:v>
                </c:pt>
                <c:pt idx="6">
                  <c:v>3.68</c:v>
                </c:pt>
                <c:pt idx="7">
                  <c:v>3.62</c:v>
                </c:pt>
                <c:pt idx="8">
                  <c:v>3.65</c:v>
                </c:pt>
                <c:pt idx="9">
                  <c:v>3.73</c:v>
                </c:pt>
                <c:pt idx="10">
                  <c:v>3.6</c:v>
                </c:pt>
              </c:numCache>
            </c:numRef>
          </c:val>
          <c:extLst xmlns:c16r2="http://schemas.microsoft.com/office/drawing/2015/06/chart">
            <c:ext xmlns:c16="http://schemas.microsoft.com/office/drawing/2014/chart" uri="{C3380CC4-5D6E-409C-BE32-E72D297353CC}">
              <c16:uniqueId val="{00000000-C3C7-45EF-BBA9-0D3ACED6400C}"/>
            </c:ext>
          </c:extLst>
        </c:ser>
        <c:dLbls>
          <c:showLegendKey val="0"/>
          <c:showVal val="0"/>
          <c:showCatName val="0"/>
          <c:showSerName val="0"/>
          <c:showPercent val="0"/>
          <c:showBubbleSize val="0"/>
        </c:dLbls>
        <c:gapWidth val="267"/>
        <c:overlap val="-43"/>
        <c:axId val="364050376"/>
        <c:axId val="364055864"/>
      </c:barChart>
      <c:catAx>
        <c:axId val="36405037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vert="horz"/>
              <a:lstStyle/>
              <a:p>
                <a:pPr>
                  <a:defRPr/>
                </a:pPr>
                <a:r>
                  <a:rPr lang="es-PE"/>
                  <a:t>Tratamientos - DCCR</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es-EC"/>
          </a:p>
        </c:txPr>
        <c:crossAx val="364055864"/>
        <c:crosses val="autoZero"/>
        <c:auto val="1"/>
        <c:lblAlgn val="ctr"/>
        <c:lblOffset val="100"/>
        <c:noMultiLvlLbl val="0"/>
      </c:catAx>
      <c:valAx>
        <c:axId val="364055864"/>
        <c:scaling>
          <c:orientation val="minMax"/>
          <c:max val="5"/>
        </c:scaling>
        <c:delete val="0"/>
        <c:axPos val="l"/>
        <c:majorGridlines>
          <c:spPr>
            <a:ln w="9525" cap="flat" cmpd="sng" algn="ctr">
              <a:solidFill>
                <a:schemeClr val="dk1">
                  <a:lumMod val="15000"/>
                  <a:lumOff val="85000"/>
                </a:schemeClr>
              </a:solidFill>
              <a:round/>
            </a:ln>
            <a:effectLst/>
          </c:spPr>
        </c:majorGridlines>
        <c:title>
          <c:tx>
            <c:rich>
              <a:bodyPr rot="-5400000" vert="horz"/>
              <a:lstStyle/>
              <a:p>
                <a:pPr>
                  <a:defRPr/>
                </a:pPr>
                <a:r>
                  <a:rPr lang="es-PE"/>
                  <a:t>pH Final - Tratamiento</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s-EC"/>
          </a:p>
        </c:txPr>
        <c:crossAx val="36405037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73867570573778785"/>
          <c:y val="0.10243000874890634"/>
          <c:w val="0.10052573684639374"/>
          <c:h val="7.9288618668484828E-2"/>
        </c:manualLayout>
      </c:layout>
      <c:overlay val="0"/>
      <c:spPr>
        <a:noFill/>
        <a:ln>
          <a:noFill/>
        </a:ln>
        <a:effectLst/>
      </c:spPr>
      <c:txPr>
        <a:bodyPr rot="0" vert="horz"/>
        <a:lstStyle/>
        <a:p>
          <a:pPr>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CPK11</b:Tag>
    <b:SourceType>Book</b:SourceType>
    <b:Guid>{E0612FCC-679E-1B44-A523-507F6654D526}</b:Guid>
    <b:Author>
      <b:Author>
        <b:NameList>
          <b:Person>
            <b:Last>Kottak</b:Last>
            <b:First>C.P.</b:First>
          </b:Person>
        </b:NameList>
      </b:Author>
    </b:Author>
    <b:Title>Antropología Cultural</b:Title>
    <b:Year>2011</b:Year>
    <b:City>México</b:City>
    <b:Publisher>ed. Mc Graw Hill</b:Publisher>
    <b:RefOrder>15</b:RefOrder>
  </b:Source>
  <b:Source>
    <b:Tag>PCa65</b:Tag>
    <b:SourceType>Book</b:SourceType>
    <b:Guid>{3E2B059F-D010-0141-97EA-BDCDF205C1B3}</b:Guid>
    <b:Author>
      <b:Author>
        <b:NameList>
          <b:Person>
            <b:Last>Neto</b:Last>
            <b:First>P.</b:First>
            <b:Middle>Carvalho</b:Middle>
          </b:Person>
        </b:NameList>
      </b:Author>
    </b:Author>
    <b:Title>Concepto de folklore</b:Title>
    <b:City>Texas</b:City>
    <b:Publisher>Editorial Pormarca</b:Publisher>
    <b:Year>1965</b:Year>
    <b:RefOrder>16</b:RefOrder>
  </b:Source>
  <b:Source>
    <b:Tag>ARC</b:Tag>
    <b:SourceType>JournalArticle</b:SourceType>
    <b:Guid>{26D0D91F-7900-DD49-8FF6-D41CBD9EC7C2}</b:Guid>
    <b:Author>
      <b:Author>
        <b:NameList>
          <b:Person>
            <b:Last>Cortázar</b:Last>
            <b:First>A.</b:First>
            <b:Middle>R.</b:Middle>
          </b:Person>
        </b:NameList>
      </b:Author>
    </b:Author>
    <b:Title>Los fenómenos folklóricos y su contexto humano y cultura</b:Title>
    <b:JournalName>Teoría del Folklore</b:JournalName>
    <b:Year>1975</b:Year>
    <b:Pages>45-86</b:Pages>
    <b:RefOrder>17</b:RefOrder>
  </b:Source>
  <b:Source>
    <b:Tag>Cla11</b:Tag>
    <b:SourceType>Book</b:SourceType>
    <b:Guid>{B965E140-DF19-434A-A0BE-916133F394DF}</b:Guid>
    <b:Author>
      <b:Author>
        <b:NameList>
          <b:Person>
            <b:Last>Malo</b:Last>
            <b:First>Claudio</b:First>
          </b:Person>
        </b:NameList>
      </b:Author>
    </b:Author>
    <b:Title>Teoría de la cultura popular</b:Title>
    <b:Year>2011</b:Year>
    <b:City>Cuenca</b:City>
    <b:Publisher>IDIAP</b:Publisher>
    <b:RefOrder>18</b:RefOrder>
  </b:Source>
  <b:Source>
    <b:Tag>Une03</b:Tag>
    <b:SourceType>Book</b:SourceType>
    <b:Guid>{FB5F30B3-31C4-9647-948C-70F04A752D16}</b:Guid>
    <b:Author>
      <b:Author>
        <b:Corporate>Unesco</b:Corporate>
      </b:Author>
    </b:Author>
    <b:Title>Convención para la Salvaguardia del Patrimonio Cultural Inmaterial</b:Title>
    <b:City>París</b:City>
    <b:Year>2003</b:Year>
    <b:RefOrder>19</b:RefOrder>
  </b:Source>
  <b:Source>
    <b:Tag>HAn05</b:Tag>
    <b:SourceType>Book</b:SourceType>
    <b:Guid>{CFFA32C9-C778-B349-A1E1-B7D33E56EFC3}</b:Guid>
    <b:Author>
      <b:Author>
        <b:NameList>
          <b:Person>
            <b:Last>Andrade</b:Last>
            <b:First>H.</b:First>
          </b:Person>
        </b:NameList>
      </b:Author>
    </b:Author>
    <b:Title>Comunicación organizacional interna: proceso, disciplina y técnica</b:Title>
    <b:City>España</b:City>
    <b:Publisher>Gesbiblio</b:Publisher>
    <b:Year>2005</b:Year>
    <b:RefOrder>20</b:RefOrder>
  </b:Source>
  <b:Source>
    <b:Tag>IAr77</b:Tag>
    <b:SourceType>Book</b:SourceType>
    <b:Guid>{CDA5F7FE-AA6A-A84D-8C17-2150DA2A21AC}</b:Guid>
    <b:Author>
      <b:Author>
        <b:NameList>
          <b:Person>
            <b:Last>Aretz</b:Last>
            <b:First>I.</b:First>
          </b:Person>
        </b:NameList>
      </b:Author>
    </b:Author>
    <b:Title>Qué es el Folklore</b:Title>
    <b:City>Caracas</b:City>
    <b:Publisher>Monte Ávila Editores</b:Publisher>
    <b:Year>1977</b:Year>
    <b:RefOrder>21</b:RefOrder>
  </b:Source>
  <b:Source>
    <b:Tag>DHu81</b:Tag>
    <b:SourceType>Book</b:SourceType>
    <b:Guid>{8E80E593-1C07-3847-A3EB-9A3625E85185}</b:Guid>
    <b:Author>
      <b:Author>
        <b:NameList>
          <b:Person>
            <b:Last>Hunter</b:Last>
            <b:First>D.</b:First>
          </b:Person>
          <b:Person>
            <b:Last>Whitten</b:Last>
            <b:First>P.</b:First>
          </b:Person>
        </b:NameList>
      </b:Author>
    </b:Author>
    <b:Title>Antropología cultural</b:Title>
    <b:City>Barcelona</b:City>
    <b:Publisher>Enciclopedia de Antropología</b:Publisher>
    <b:Year>1981</b:Year>
    <b:RefOrder>22</b:RefOrder>
  </b:Source>
</b:Sources>
</file>

<file path=customXml/itemProps1.xml><?xml version="1.0" encoding="utf-8"?>
<ds:datastoreItem xmlns:ds="http://schemas.openxmlformats.org/officeDocument/2006/customXml" ds:itemID="{64058F52-D94A-4C07-8476-E1326FCFC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13</Pages>
  <Words>3736</Words>
  <Characters>20551</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24239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2021-05-21T16:25:00Z</cp:lastPrinted>
  <dcterms:created xsi:type="dcterms:W3CDTF">2021-05-21T16:24:00Z</dcterms:created>
  <dcterms:modified xsi:type="dcterms:W3CDTF">2021-07-03T14:55:00Z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